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C6D2" w14:textId="77777777" w:rsidR="009E6638" w:rsidRDefault="009E6638">
      <w:pPr>
        <w:spacing w:line="300" w:lineRule="exact"/>
      </w:pPr>
    </w:p>
    <w:p w14:paraId="60814E27" w14:textId="77777777" w:rsidR="00F13F54" w:rsidRPr="00F13F54" w:rsidRDefault="00F13F54" w:rsidP="00F13F54">
      <w:pPr>
        <w:pStyle w:val="Aufzhlungszeichen3"/>
        <w:numPr>
          <w:ilvl w:val="0"/>
          <w:numId w:val="0"/>
        </w:numPr>
        <w:rPr>
          <w:b/>
          <w:bCs/>
          <w:lang w:val="en-CA"/>
        </w:rPr>
      </w:pPr>
      <w:r w:rsidRPr="00F13F54">
        <w:rPr>
          <w:b/>
          <w:bCs/>
          <w:lang w:val="en-CA"/>
        </w:rPr>
        <w:t>Press Release</w:t>
      </w:r>
    </w:p>
    <w:p w14:paraId="5BA025AD" w14:textId="77777777" w:rsidR="00F13F54" w:rsidRDefault="00F13F54" w:rsidP="003F0C34">
      <w:pPr>
        <w:pStyle w:val="Aufzhlungszeichen3"/>
        <w:numPr>
          <w:ilvl w:val="0"/>
          <w:numId w:val="0"/>
        </w:numPr>
        <w:jc w:val="right"/>
        <w:rPr>
          <w:lang w:val="en-CA"/>
        </w:rPr>
      </w:pPr>
      <w:r w:rsidRPr="00F13F54">
        <w:rPr>
          <w:lang w:val="en-CA"/>
        </w:rPr>
        <w:t>Vienna, May 8, 2024</w:t>
      </w:r>
    </w:p>
    <w:p w14:paraId="6B6C1932" w14:textId="77777777" w:rsidR="00536C09" w:rsidRPr="00F13F54" w:rsidRDefault="00536C09" w:rsidP="003F0C34">
      <w:pPr>
        <w:pStyle w:val="Aufzhlungszeichen3"/>
        <w:numPr>
          <w:ilvl w:val="0"/>
          <w:numId w:val="0"/>
        </w:numPr>
        <w:jc w:val="right"/>
        <w:rPr>
          <w:lang w:val="en-CA"/>
        </w:rPr>
      </w:pPr>
    </w:p>
    <w:p w14:paraId="29D25330" w14:textId="1AE4E71D" w:rsidR="00F13F54" w:rsidRPr="003F0C34" w:rsidRDefault="00F13F54" w:rsidP="00F13F54">
      <w:pPr>
        <w:pStyle w:val="Aufzhlungszeichen3"/>
        <w:numPr>
          <w:ilvl w:val="0"/>
          <w:numId w:val="0"/>
        </w:numPr>
        <w:rPr>
          <w:b/>
          <w:bCs/>
          <w:lang w:val="en-CA"/>
        </w:rPr>
      </w:pPr>
      <w:r w:rsidRPr="003F0C34">
        <w:rPr>
          <w:b/>
          <w:bCs/>
          <w:lang w:val="en-CA"/>
        </w:rPr>
        <w:t>Study: Labor Costs in Central and Southeast Europe as a Location Factor</w:t>
      </w:r>
    </w:p>
    <w:p w14:paraId="04CE1D27" w14:textId="5A830219" w:rsidR="00F13F54" w:rsidRDefault="002E7B78" w:rsidP="00F13F54">
      <w:pPr>
        <w:pStyle w:val="Aufzhlungszeichen3"/>
        <w:numPr>
          <w:ilvl w:val="0"/>
          <w:numId w:val="0"/>
        </w:numPr>
        <w:ind w:left="1421"/>
        <w:rPr>
          <w:lang w:val="en-CA"/>
        </w:rPr>
      </w:pPr>
      <w:r w:rsidRPr="002E7B78">
        <w:rPr>
          <w:rFonts w:eastAsia="Arial" w:cs="Times New Roman"/>
          <w:noProof/>
          <w:lang w:eastAsia="de-AT"/>
        </w:rPr>
        <mc:AlternateContent>
          <mc:Choice Requires="wps">
            <w:drawing>
              <wp:anchor distT="0" distB="0" distL="114300" distR="114300" simplePos="0" relativeHeight="251659264" behindDoc="0" locked="0" layoutInCell="1" allowOverlap="1" wp14:anchorId="3BB93E35" wp14:editId="6EF46C9E">
                <wp:simplePos x="0" y="0"/>
                <wp:positionH relativeFrom="margin">
                  <wp:align>left</wp:align>
                </wp:positionH>
                <wp:positionV relativeFrom="paragraph">
                  <wp:posOffset>49102</wp:posOffset>
                </wp:positionV>
                <wp:extent cx="5759450" cy="0"/>
                <wp:effectExtent l="0" t="0" r="0" b="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12700" cap="flat" cmpd="sng" algn="ctr">
                          <a:solidFill>
                            <a:srgbClr val="57AB27"/>
                          </a:solidFill>
                          <a:prstDash val="solid"/>
                          <a:headEnd/>
                          <a:tailEnd/>
                        </a:ln>
                        <a:effectLst/>
                      </wps:spPr>
                      <wps:bodyPr/>
                    </wps:wsp>
                  </a:graphicData>
                </a:graphic>
              </wp:anchor>
            </w:drawing>
          </mc:Choice>
          <mc:Fallback>
            <w:pict>
              <v:shapetype w14:anchorId="0A3E0B83" id="_x0000_t32" coordsize="21600,21600" o:spt="32" o:oned="t" path="m,l21600,21600e" filled="f">
                <v:path arrowok="t" fillok="f" o:connecttype="none"/>
                <o:lock v:ext="edit" shapetype="t"/>
              </v:shapetype>
              <v:shape id="Gerade Verbindung mit Pfeil 1" o:spid="_x0000_s1026" type="#_x0000_t32" style="position:absolute;margin-left:0;margin-top:3.85pt;width:453.5pt;height:0;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" strokecolor="#57ab27" strokeweight="1pt">
                <w10:wrap anchorx="margin"/>
              </v:shape>
            </w:pict>
          </mc:Fallback>
        </mc:AlternateContent>
      </w:r>
    </w:p>
    <w:p w14:paraId="465C53F0" w14:textId="77777777" w:rsidR="00536C09" w:rsidRPr="00F13F54" w:rsidRDefault="00536C09" w:rsidP="00F13F54">
      <w:pPr>
        <w:pStyle w:val="Aufzhlungszeichen3"/>
        <w:numPr>
          <w:ilvl w:val="0"/>
          <w:numId w:val="0"/>
        </w:numPr>
        <w:ind w:left="1421"/>
        <w:rPr>
          <w:lang w:val="en-CA"/>
        </w:rPr>
      </w:pPr>
    </w:p>
    <w:p w14:paraId="724103EF" w14:textId="4F29FE9A" w:rsidR="00F13F54" w:rsidRPr="003F0C34" w:rsidRDefault="00F13F54" w:rsidP="00F13F54">
      <w:pPr>
        <w:pStyle w:val="Aufzhlungszeichen3"/>
        <w:numPr>
          <w:ilvl w:val="0"/>
          <w:numId w:val="0"/>
        </w:numPr>
        <w:rPr>
          <w:b/>
          <w:bCs/>
          <w:lang w:val="en-CA"/>
        </w:rPr>
      </w:pPr>
      <w:r w:rsidRPr="003F0C34">
        <w:rPr>
          <w:b/>
          <w:bCs/>
          <w:lang w:val="en-CA"/>
        </w:rPr>
        <w:t xml:space="preserve">Vienna – The renowned tax consulting firm TPA, in collaboration with the HR consultancy </w:t>
      </w:r>
      <w:proofErr w:type="spellStart"/>
      <w:r w:rsidRPr="003F0C34">
        <w:rPr>
          <w:b/>
          <w:bCs/>
          <w:lang w:val="en-CA"/>
        </w:rPr>
        <w:t>Kienbaum</w:t>
      </w:r>
      <w:proofErr w:type="spellEnd"/>
      <w:r w:rsidRPr="003F0C34">
        <w:rPr>
          <w:b/>
          <w:bCs/>
          <w:lang w:val="en-CA"/>
        </w:rPr>
        <w:t xml:space="preserve">, has published a study for the third time examining labor costs in twelve selected Central and Southeast European countries. The study, titled "Personnel Costs as a Factor in Location Decisions," focuses on four groups of employees: </w:t>
      </w:r>
      <w:r w:rsidR="00536C09">
        <w:rPr>
          <w:b/>
          <w:bCs/>
          <w:lang w:val="en-CA"/>
        </w:rPr>
        <w:t xml:space="preserve">Managing </w:t>
      </w:r>
      <w:proofErr w:type="spellStart"/>
      <w:r w:rsidR="00536C09">
        <w:rPr>
          <w:b/>
          <w:bCs/>
          <w:lang w:val="en-CA"/>
        </w:rPr>
        <w:t>direcors</w:t>
      </w:r>
      <w:proofErr w:type="spellEnd"/>
      <w:r w:rsidR="00536C09">
        <w:rPr>
          <w:b/>
          <w:bCs/>
          <w:lang w:val="en-CA"/>
        </w:rPr>
        <w:t xml:space="preserve">, Executives, White-collar </w:t>
      </w:r>
      <w:proofErr w:type="gramStart"/>
      <w:r w:rsidR="00536C09">
        <w:rPr>
          <w:b/>
          <w:bCs/>
          <w:lang w:val="en-CA"/>
        </w:rPr>
        <w:t>workers</w:t>
      </w:r>
      <w:proofErr w:type="gramEnd"/>
      <w:r w:rsidR="002E7B78">
        <w:rPr>
          <w:b/>
          <w:bCs/>
          <w:lang w:val="en-CA"/>
        </w:rPr>
        <w:t xml:space="preserve"> and</w:t>
      </w:r>
      <w:r w:rsidR="00536C09">
        <w:rPr>
          <w:b/>
          <w:bCs/>
          <w:lang w:val="en-CA"/>
        </w:rPr>
        <w:t xml:space="preserve"> Blue-collar workers</w:t>
      </w:r>
      <w:r w:rsidRPr="003F0C34">
        <w:rPr>
          <w:b/>
          <w:bCs/>
          <w:lang w:val="en-CA"/>
        </w:rPr>
        <w:t>.</w:t>
      </w:r>
    </w:p>
    <w:p w14:paraId="4340CC74" w14:textId="77777777" w:rsidR="00F13F54" w:rsidRPr="003F0C34" w:rsidRDefault="00F13F54" w:rsidP="00F13F54">
      <w:pPr>
        <w:pStyle w:val="Aufzhlungszeichen3"/>
        <w:numPr>
          <w:ilvl w:val="0"/>
          <w:numId w:val="0"/>
        </w:numPr>
        <w:ind w:left="1077"/>
        <w:rPr>
          <w:b/>
          <w:bCs/>
          <w:lang w:val="en-CA"/>
        </w:rPr>
      </w:pPr>
    </w:p>
    <w:p w14:paraId="27F055E2" w14:textId="77777777" w:rsidR="00F13F54" w:rsidRPr="00F13F54" w:rsidRDefault="00F13F54" w:rsidP="00F13F54">
      <w:pPr>
        <w:pStyle w:val="Aufzhlungszeichen3"/>
        <w:numPr>
          <w:ilvl w:val="0"/>
          <w:numId w:val="0"/>
        </w:numPr>
        <w:rPr>
          <w:lang w:val="en-CA"/>
        </w:rPr>
      </w:pPr>
      <w:r w:rsidRPr="00F13F54">
        <w:rPr>
          <w:lang w:val="en-CA"/>
        </w:rPr>
        <w:t>The third edition of the study reaffirms: Nearshoring remains a significant topic for businesses, with salary costs playing a crucial role in site selection. The study "Personnel Costs as a Factor in Location Decisions" appears for the third time, analyzing cross-border developments from 2023. Unique in its scope, the study explores an aspect previously underexplored in similar studies of these markets. It is based on gross wages in Albania, Bulgaria, Croatia, Montenegro, Austria, Poland, Romania, Serbia, Slovakia, Slovenia, Czechia, and Hungary. It examines both the total costs borne by employers and the net amounts employees receive at the end of the month.</w:t>
      </w:r>
    </w:p>
    <w:p w14:paraId="4A1B8D7A" w14:textId="77777777" w:rsidR="00F13F54" w:rsidRPr="00F13F54" w:rsidRDefault="00F13F54" w:rsidP="00F13F54">
      <w:pPr>
        <w:pStyle w:val="Aufzhlungszeichen3"/>
        <w:numPr>
          <w:ilvl w:val="0"/>
          <w:numId w:val="0"/>
        </w:numPr>
        <w:ind w:left="1077"/>
        <w:rPr>
          <w:lang w:val="en-CA"/>
        </w:rPr>
      </w:pPr>
    </w:p>
    <w:p w14:paraId="1E0F5B03" w14:textId="77777777" w:rsidR="00F13F54" w:rsidRPr="003F0C34" w:rsidRDefault="00F13F54" w:rsidP="00F13F54">
      <w:pPr>
        <w:pStyle w:val="Aufzhlungszeichen3"/>
        <w:numPr>
          <w:ilvl w:val="0"/>
          <w:numId w:val="0"/>
        </w:numPr>
        <w:rPr>
          <w:b/>
          <w:bCs/>
          <w:lang w:val="en-CA"/>
        </w:rPr>
      </w:pPr>
      <w:r w:rsidRPr="003F0C34">
        <w:rPr>
          <w:b/>
          <w:bCs/>
          <w:lang w:val="en-CA"/>
        </w:rPr>
        <w:t>Employer Personnel Cost Highlights</w:t>
      </w:r>
    </w:p>
    <w:p w14:paraId="4E2345D3" w14:textId="77777777" w:rsidR="00F13F54" w:rsidRPr="00F13F54" w:rsidRDefault="00F13F54" w:rsidP="00F13F54">
      <w:pPr>
        <w:pStyle w:val="Aufzhlungszeichen3"/>
        <w:numPr>
          <w:ilvl w:val="0"/>
          <w:numId w:val="0"/>
        </w:numPr>
        <w:ind w:left="1077"/>
        <w:rPr>
          <w:lang w:val="en-CA"/>
        </w:rPr>
      </w:pPr>
    </w:p>
    <w:p w14:paraId="3A3A9149" w14:textId="77777777" w:rsidR="00F13F54" w:rsidRPr="00F13F54" w:rsidRDefault="00F13F54" w:rsidP="003F0C34">
      <w:pPr>
        <w:pStyle w:val="Aufzhlungszeichen3"/>
        <w:numPr>
          <w:ilvl w:val="0"/>
          <w:numId w:val="40"/>
        </w:numPr>
        <w:rPr>
          <w:lang w:val="en-CA"/>
        </w:rPr>
      </w:pPr>
      <w:r w:rsidRPr="00F13F54">
        <w:rPr>
          <w:lang w:val="en-CA"/>
        </w:rPr>
        <w:t>Austria continues to lead in 2023 in total costs across all employee groups, recording the highest personnel costs.</w:t>
      </w:r>
    </w:p>
    <w:p w14:paraId="73E46AFE" w14:textId="0E68BAF7" w:rsidR="00F13F54" w:rsidRPr="00F13F54" w:rsidRDefault="00F13F54" w:rsidP="003F0C34">
      <w:pPr>
        <w:pStyle w:val="Aufzhlungszeichen3"/>
        <w:numPr>
          <w:ilvl w:val="0"/>
          <w:numId w:val="40"/>
        </w:numPr>
        <w:rPr>
          <w:lang w:val="en-CA"/>
        </w:rPr>
      </w:pPr>
      <w:r w:rsidRPr="00F13F54">
        <w:rPr>
          <w:lang w:val="en-CA"/>
        </w:rPr>
        <w:t>Following Austria, Slovenia, Cz</w:t>
      </w:r>
      <w:r w:rsidR="00CA0AC9">
        <w:rPr>
          <w:lang w:val="en-CA"/>
        </w:rPr>
        <w:t xml:space="preserve">ech </w:t>
      </w:r>
      <w:proofErr w:type="gramStart"/>
      <w:r w:rsidR="00CA0AC9">
        <w:rPr>
          <w:lang w:val="en-CA"/>
        </w:rPr>
        <w:t>Republic</w:t>
      </w:r>
      <w:proofErr w:type="gramEnd"/>
      <w:r w:rsidRPr="00F13F54">
        <w:rPr>
          <w:lang w:val="en-CA"/>
        </w:rPr>
        <w:t xml:space="preserve"> and Slovakia—all three direct neighbors of Austria—lead in all employee groups. Poland is catching up in some employee groups.</w:t>
      </w:r>
    </w:p>
    <w:p w14:paraId="1CE98B6F" w14:textId="77777777" w:rsidR="00F13F54" w:rsidRPr="00F13F54" w:rsidRDefault="00F13F54" w:rsidP="003F0C34">
      <w:pPr>
        <w:pStyle w:val="Aufzhlungszeichen3"/>
        <w:numPr>
          <w:ilvl w:val="0"/>
          <w:numId w:val="40"/>
        </w:numPr>
        <w:rPr>
          <w:lang w:val="en-CA"/>
        </w:rPr>
      </w:pPr>
      <w:r w:rsidRPr="00F13F54">
        <w:rPr>
          <w:lang w:val="en-CA"/>
        </w:rPr>
        <w:t>Croatia and Hungary fall in the mid-range of total costs.</w:t>
      </w:r>
    </w:p>
    <w:p w14:paraId="4696F039" w14:textId="77777777" w:rsidR="00F13F54" w:rsidRPr="00F13F54" w:rsidRDefault="00F13F54" w:rsidP="003F0C34">
      <w:pPr>
        <w:pStyle w:val="Aufzhlungszeichen3"/>
        <w:numPr>
          <w:ilvl w:val="0"/>
          <w:numId w:val="40"/>
        </w:numPr>
        <w:rPr>
          <w:lang w:val="en-CA"/>
        </w:rPr>
      </w:pPr>
      <w:r w:rsidRPr="00F13F54">
        <w:rPr>
          <w:lang w:val="en-CA"/>
        </w:rPr>
        <w:t>Montenegro, Romania, Serbia, and Bulgaria show lower total costs, with varying rankings depending on the employee group.</w:t>
      </w:r>
    </w:p>
    <w:p w14:paraId="278A9ED0" w14:textId="77777777" w:rsidR="00F13F54" w:rsidRPr="00F13F54" w:rsidRDefault="00F13F54" w:rsidP="003F0C34">
      <w:pPr>
        <w:pStyle w:val="Aufzhlungszeichen3"/>
        <w:numPr>
          <w:ilvl w:val="0"/>
          <w:numId w:val="40"/>
        </w:numPr>
        <w:rPr>
          <w:lang w:val="en-CA"/>
        </w:rPr>
      </w:pPr>
      <w:r w:rsidRPr="00F13F54">
        <w:rPr>
          <w:lang w:val="en-CA"/>
        </w:rPr>
        <w:t>Albania consistently has the lowest total costs for all employee groups.</w:t>
      </w:r>
    </w:p>
    <w:p w14:paraId="0BFB5ED1" w14:textId="77777777" w:rsidR="00F13F54" w:rsidRDefault="00F13F54" w:rsidP="003F0C34">
      <w:pPr>
        <w:pStyle w:val="Aufzhlungszeichen3"/>
        <w:numPr>
          <w:ilvl w:val="0"/>
          <w:numId w:val="40"/>
        </w:numPr>
        <w:rPr>
          <w:lang w:val="en-CA"/>
        </w:rPr>
      </w:pPr>
      <w:r w:rsidRPr="00F13F54">
        <w:rPr>
          <w:lang w:val="en-CA"/>
        </w:rPr>
        <w:t>Compared to previous years, total costs in Central and Southeast European countries have risen more sharply than in Austria, with Poland showing the largest jump.</w:t>
      </w:r>
    </w:p>
    <w:p w14:paraId="4768F33F" w14:textId="77777777" w:rsidR="00CA0AC9" w:rsidRPr="00F13F54" w:rsidRDefault="00CA0AC9" w:rsidP="00CA0AC9">
      <w:pPr>
        <w:pStyle w:val="Aufzhlungszeichen3"/>
        <w:numPr>
          <w:ilvl w:val="0"/>
          <w:numId w:val="0"/>
        </w:numPr>
        <w:ind w:left="720"/>
        <w:rPr>
          <w:lang w:val="en-CA"/>
        </w:rPr>
      </w:pPr>
    </w:p>
    <w:p w14:paraId="457135D1" w14:textId="77777777" w:rsidR="00F13F54" w:rsidRPr="00F13F54" w:rsidRDefault="00F13F54" w:rsidP="00CA0AC9">
      <w:pPr>
        <w:pStyle w:val="Aufzhlungszeichen3"/>
        <w:numPr>
          <w:ilvl w:val="0"/>
          <w:numId w:val="0"/>
        </w:numPr>
        <w:rPr>
          <w:lang w:val="en-CA"/>
        </w:rPr>
      </w:pPr>
      <w:r w:rsidRPr="00F13F54">
        <w:rPr>
          <w:lang w:val="en-CA"/>
        </w:rPr>
        <w:t>It is notable that personnel costs in non-EU countries are comparatively low. Furthermore, countries that joined the EU in the first expansion round 20 years ago tend to have higher costs than countries with later EU memberships. Lower personnel costs are observed in Southeast Europe. However, other criteria such as education and qualification levels, as well as labor regulations, also play a role in location decisions.</w:t>
      </w:r>
    </w:p>
    <w:p w14:paraId="232A6E1E" w14:textId="77777777" w:rsidR="00F13F54" w:rsidRPr="00F13F54" w:rsidRDefault="00F13F54" w:rsidP="00F13F54">
      <w:pPr>
        <w:pStyle w:val="Aufzhlungszeichen3"/>
        <w:numPr>
          <w:ilvl w:val="0"/>
          <w:numId w:val="0"/>
        </w:numPr>
        <w:rPr>
          <w:lang w:val="en-CA"/>
        </w:rPr>
      </w:pPr>
    </w:p>
    <w:p w14:paraId="7FA018CB" w14:textId="0458DD23" w:rsidR="00F13F54" w:rsidRPr="00536C09" w:rsidRDefault="00F13F54" w:rsidP="00F13F54">
      <w:pPr>
        <w:pStyle w:val="Aufzhlungszeichen3"/>
        <w:numPr>
          <w:ilvl w:val="0"/>
          <w:numId w:val="0"/>
        </w:numPr>
        <w:rPr>
          <w:b/>
          <w:bCs/>
          <w:lang w:val="en-CA"/>
        </w:rPr>
      </w:pPr>
      <w:r w:rsidRPr="003F0C34">
        <w:rPr>
          <w:b/>
          <w:bCs/>
          <w:lang w:val="en-CA"/>
        </w:rPr>
        <w:t>Manufacturing Industry</w:t>
      </w:r>
      <w:r w:rsidR="00536C09">
        <w:rPr>
          <w:b/>
          <w:bCs/>
          <w:lang w:val="en-CA"/>
        </w:rPr>
        <w:br/>
      </w:r>
      <w:r w:rsidRPr="00F13F54">
        <w:rPr>
          <w:lang w:val="en-CA"/>
        </w:rPr>
        <w:t xml:space="preserve">Specific industry observations indicate that Central and Southeast European countries are popular </w:t>
      </w:r>
      <w:r w:rsidRPr="00F13F54">
        <w:rPr>
          <w:lang w:val="en-CA"/>
        </w:rPr>
        <w:lastRenderedPageBreak/>
        <w:t>outsourcing locations for the manufacturing industry. As a result of detailed industry analysis, the following points stand out:</w:t>
      </w:r>
    </w:p>
    <w:p w14:paraId="3BE41F14" w14:textId="77777777" w:rsidR="00F13F54" w:rsidRPr="00F13F54" w:rsidRDefault="00F13F54" w:rsidP="00F13F54">
      <w:pPr>
        <w:pStyle w:val="Aufzhlungszeichen3"/>
        <w:numPr>
          <w:ilvl w:val="0"/>
          <w:numId w:val="0"/>
        </w:numPr>
        <w:rPr>
          <w:lang w:val="en-CA"/>
        </w:rPr>
      </w:pPr>
    </w:p>
    <w:p w14:paraId="39891B82" w14:textId="77777777" w:rsidR="00F13F54" w:rsidRPr="00F13F54" w:rsidRDefault="00F13F54" w:rsidP="00CA0AC9">
      <w:pPr>
        <w:pStyle w:val="Aufzhlungszeichen3"/>
        <w:numPr>
          <w:ilvl w:val="0"/>
          <w:numId w:val="40"/>
        </w:numPr>
        <w:rPr>
          <w:lang w:val="en-CA"/>
        </w:rPr>
      </w:pPr>
      <w:r w:rsidRPr="00F13F54">
        <w:rPr>
          <w:lang w:val="en-CA"/>
        </w:rPr>
        <w:t>The order of countries has not changed compared to 2022.</w:t>
      </w:r>
    </w:p>
    <w:p w14:paraId="5BF10A83" w14:textId="77777777" w:rsidR="00F13F54" w:rsidRDefault="00F13F54" w:rsidP="00CA0AC9">
      <w:pPr>
        <w:pStyle w:val="Aufzhlungszeichen3"/>
        <w:numPr>
          <w:ilvl w:val="0"/>
          <w:numId w:val="40"/>
        </w:numPr>
        <w:rPr>
          <w:lang w:val="en-CA"/>
        </w:rPr>
      </w:pPr>
      <w:r w:rsidRPr="00F13F54">
        <w:rPr>
          <w:lang w:val="en-CA"/>
        </w:rPr>
        <w:t>The personnel costs of workers in the manufacturing industry are generally lower than in other industries.</w:t>
      </w:r>
    </w:p>
    <w:p w14:paraId="2DCBB49E" w14:textId="77777777" w:rsidR="003F0C34" w:rsidRPr="00F13F54" w:rsidRDefault="003F0C34" w:rsidP="00F13F54">
      <w:pPr>
        <w:pStyle w:val="Aufzhlungszeichen3"/>
        <w:numPr>
          <w:ilvl w:val="0"/>
          <w:numId w:val="0"/>
        </w:numPr>
        <w:rPr>
          <w:lang w:val="en-CA"/>
        </w:rPr>
      </w:pPr>
    </w:p>
    <w:p w14:paraId="492D3DF3" w14:textId="77777777" w:rsidR="00F13F54" w:rsidRPr="003F0C34" w:rsidRDefault="00F13F54" w:rsidP="00F13F54">
      <w:pPr>
        <w:pStyle w:val="Aufzhlungszeichen3"/>
        <w:numPr>
          <w:ilvl w:val="0"/>
          <w:numId w:val="0"/>
        </w:numPr>
        <w:rPr>
          <w:b/>
          <w:bCs/>
          <w:lang w:val="en-CA"/>
        </w:rPr>
      </w:pPr>
      <w:r w:rsidRPr="003F0C34">
        <w:rPr>
          <w:b/>
          <w:bCs/>
          <w:lang w:val="en-CA"/>
        </w:rPr>
        <w:t>Net Salaries in Comparison</w:t>
      </w:r>
    </w:p>
    <w:p w14:paraId="67AE5E81" w14:textId="77777777" w:rsidR="00F13F54" w:rsidRPr="00F13F54" w:rsidRDefault="00F13F54" w:rsidP="00F13F54">
      <w:pPr>
        <w:pStyle w:val="Aufzhlungszeichen3"/>
        <w:numPr>
          <w:ilvl w:val="0"/>
          <w:numId w:val="0"/>
        </w:numPr>
        <w:rPr>
          <w:lang w:val="en-CA"/>
        </w:rPr>
      </w:pPr>
      <w:r w:rsidRPr="00F13F54">
        <w:rPr>
          <w:lang w:val="en-CA"/>
        </w:rPr>
        <w:t>The study is based on varying gross wages across countries, leading to high net amounts in some cases, despite high taxes and social security contributions.</w:t>
      </w:r>
    </w:p>
    <w:p w14:paraId="276C62CA" w14:textId="77777777" w:rsidR="00F13F54" w:rsidRPr="00F13F54" w:rsidRDefault="00F13F54" w:rsidP="00F13F54">
      <w:pPr>
        <w:pStyle w:val="Aufzhlungszeichen3"/>
        <w:numPr>
          <w:ilvl w:val="0"/>
          <w:numId w:val="0"/>
        </w:numPr>
        <w:rPr>
          <w:lang w:val="en-CA"/>
        </w:rPr>
      </w:pPr>
    </w:p>
    <w:p w14:paraId="0416B6C1" w14:textId="77777777" w:rsidR="00F13F54" w:rsidRPr="00F13F54" w:rsidRDefault="00F13F54" w:rsidP="00E22486">
      <w:pPr>
        <w:pStyle w:val="Aufzhlungszeichen3"/>
        <w:numPr>
          <w:ilvl w:val="0"/>
          <w:numId w:val="40"/>
        </w:numPr>
        <w:rPr>
          <w:lang w:val="en-CA"/>
        </w:rPr>
      </w:pPr>
      <w:r w:rsidRPr="00F13F54">
        <w:rPr>
          <w:lang w:val="en-CA"/>
        </w:rPr>
        <w:t>In Austria, due to the highest gross wages, the highest net amounts are observed despite high taxes and social security contributions.</w:t>
      </w:r>
    </w:p>
    <w:p w14:paraId="766DB5A5" w14:textId="77777777" w:rsidR="00F13F54" w:rsidRPr="00F13F54" w:rsidRDefault="00F13F54" w:rsidP="00E22486">
      <w:pPr>
        <w:pStyle w:val="Aufzhlungszeichen3"/>
        <w:numPr>
          <w:ilvl w:val="0"/>
          <w:numId w:val="40"/>
        </w:numPr>
        <w:rPr>
          <w:lang w:val="en-CA"/>
        </w:rPr>
      </w:pPr>
      <w:r w:rsidRPr="00F13F54">
        <w:rPr>
          <w:lang w:val="en-CA"/>
        </w:rPr>
        <w:t>Different tax systems (flat tax/progressive tax rate) and social security regulations lead to varying results depending on the employee group.</w:t>
      </w:r>
    </w:p>
    <w:p w14:paraId="69DE693C" w14:textId="77777777" w:rsidR="00F13F54" w:rsidRPr="00F13F54" w:rsidRDefault="00F13F54" w:rsidP="00F13F54">
      <w:pPr>
        <w:pStyle w:val="Aufzhlungszeichen3"/>
        <w:numPr>
          <w:ilvl w:val="0"/>
          <w:numId w:val="0"/>
        </w:numPr>
        <w:rPr>
          <w:lang w:val="en-CA"/>
        </w:rPr>
      </w:pPr>
      <w:r w:rsidRPr="00F13F54">
        <w:rPr>
          <w:lang w:val="en-CA"/>
        </w:rPr>
        <w:t>In Austria and Slovenia, the net-to-total-cost ratio increases as salaries decrease, primarily due to progressive tax systems and high maximum contribution limits for social security. In contrast, this ratio develops oppositely in Bulgaria and Serbia, owing to flat-tax systems and lower maximum contribution limits for social security. In these countries, high-earning individuals receive not only more in absolute terms but also in relation to total costs.</w:t>
      </w:r>
    </w:p>
    <w:p w14:paraId="14780B06" w14:textId="77777777" w:rsidR="00F13F54" w:rsidRPr="00F13F54" w:rsidRDefault="00F13F54" w:rsidP="00F13F54">
      <w:pPr>
        <w:pStyle w:val="Aufzhlungszeichen3"/>
        <w:numPr>
          <w:ilvl w:val="0"/>
          <w:numId w:val="0"/>
        </w:numPr>
        <w:rPr>
          <w:lang w:val="en-CA"/>
        </w:rPr>
      </w:pPr>
    </w:p>
    <w:p w14:paraId="5C4BB20E" w14:textId="77777777" w:rsidR="00F13F54" w:rsidRPr="00F13F54" w:rsidRDefault="00F13F54" w:rsidP="00F13F54">
      <w:pPr>
        <w:pStyle w:val="Aufzhlungszeichen3"/>
        <w:numPr>
          <w:ilvl w:val="0"/>
          <w:numId w:val="0"/>
        </w:numPr>
        <w:rPr>
          <w:lang w:val="en-CA"/>
        </w:rPr>
      </w:pPr>
      <w:r w:rsidRPr="00F13F54">
        <w:rPr>
          <w:lang w:val="en-CA"/>
        </w:rPr>
        <w:t>Comparing Bulgaria and Austria, a CEO in Bulgaria receives nearly 85% of the total costs as a net salary, while a low-income worker retains only 65% net. In Austria, it's the reverse: the CEO’s net salary is less than 50% of the total costs, while a worker’s is 59%. This contrast arises partly from different tax systems (a flat 10% tax in Bulgaria, a progressive system with a marginal tax rate of 55% in Austria). Additionally, high-earning individuals in Bulgaria benefit from a lower annual social security contribution limit of EUR 23,040 (compared to EUR 84,840 in Austria).</w:t>
      </w:r>
    </w:p>
    <w:p w14:paraId="5EFAAADC" w14:textId="77777777" w:rsidR="00F13F54" w:rsidRPr="00F13F54" w:rsidRDefault="00F13F54" w:rsidP="00F13F54">
      <w:pPr>
        <w:pStyle w:val="Aufzhlungszeichen3"/>
        <w:numPr>
          <w:ilvl w:val="0"/>
          <w:numId w:val="0"/>
        </w:numPr>
        <w:rPr>
          <w:lang w:val="en-CA"/>
        </w:rPr>
      </w:pPr>
    </w:p>
    <w:p w14:paraId="5179A9B7" w14:textId="77777777" w:rsidR="00F13F54" w:rsidRPr="00F13F54" w:rsidRDefault="00F13F54" w:rsidP="00F13F54">
      <w:pPr>
        <w:pStyle w:val="Aufzhlungszeichen3"/>
        <w:numPr>
          <w:ilvl w:val="0"/>
          <w:numId w:val="0"/>
        </w:numPr>
        <w:rPr>
          <w:lang w:val="en-CA"/>
        </w:rPr>
      </w:pPr>
      <w:r w:rsidRPr="00F13F54">
        <w:rPr>
          <w:lang w:val="en-CA"/>
        </w:rPr>
        <w:t>Living costs vary significantly across countries. By examining the ratio between the employer’s total costs and the employees' net amounts, one can discern how much each government collects in taxes and social security contributions, which is used to fund infrastructure, social security systems, and other important public goods and services.</w:t>
      </w:r>
    </w:p>
    <w:p w14:paraId="4370AB9F" w14:textId="77777777" w:rsidR="00F13F54" w:rsidRPr="00F13F54" w:rsidRDefault="00F13F54" w:rsidP="00F13F54">
      <w:pPr>
        <w:pStyle w:val="Aufzhlungszeichen3"/>
        <w:numPr>
          <w:ilvl w:val="0"/>
          <w:numId w:val="0"/>
        </w:numPr>
        <w:rPr>
          <w:lang w:val="en-CA"/>
        </w:rPr>
      </w:pPr>
    </w:p>
    <w:p w14:paraId="5474B9F1" w14:textId="77777777" w:rsidR="00F13F54" w:rsidRPr="00F13F54" w:rsidRDefault="00F13F54" w:rsidP="00F13F54">
      <w:pPr>
        <w:pStyle w:val="Aufzhlungszeichen3"/>
        <w:numPr>
          <w:ilvl w:val="0"/>
          <w:numId w:val="0"/>
        </w:numPr>
        <w:rPr>
          <w:lang w:val="en-CA"/>
        </w:rPr>
      </w:pPr>
      <w:r w:rsidRPr="00F13F54">
        <w:rPr>
          <w:lang w:val="en-CA"/>
        </w:rPr>
        <w:t xml:space="preserve">Klaus Bauer-Mitterlehner, partner at TPA, commented: "As an international company, cross-border business is a daily reality for us. We are pleased to present the study 'Labor Costs in Central and Southeast Europe as a Location Factor' for the third time, as it provides fascinating data that will aid business decision-making." Klaus Bauer-Mitterlehner, along with fellow partner Thomas Haneder and TPA payroll and social security expert Wolfgang Höfle, are responsible for the study. Thomas Haneder added: "Personnel costs play a crucial role in location decisions for companies. High inflation rates and the competition for top talent are driving costs up in CEE/SEE. Even though these costs are rising faster than in Austria, the catch-up process in Southeast European countries will continue for a long time." Cooperation partner for this project was </w:t>
      </w:r>
      <w:proofErr w:type="spellStart"/>
      <w:r w:rsidRPr="00F13F54">
        <w:rPr>
          <w:lang w:val="en-CA"/>
        </w:rPr>
        <w:t>Kienbaum</w:t>
      </w:r>
      <w:proofErr w:type="spellEnd"/>
      <w:r w:rsidRPr="00F13F54">
        <w:rPr>
          <w:lang w:val="en-CA"/>
        </w:rPr>
        <w:t xml:space="preserve"> Managing Director Alfred Berger. "Personnel </w:t>
      </w:r>
      <w:r w:rsidRPr="00F13F54">
        <w:rPr>
          <w:lang w:val="en-CA"/>
        </w:rPr>
        <w:lastRenderedPageBreak/>
        <w:t>decisions should not be based solely on compensation structures, as economic growth and inflation play increasingly important roles. Hidden costs may also stem from overtime taxation or the number of vacation days. However, variable compensation must not be overlooked," remarked Alfred Berger.</w:t>
      </w:r>
    </w:p>
    <w:p w14:paraId="1D0E41D2" w14:textId="77777777" w:rsidR="00F13F54" w:rsidRPr="00F13F54" w:rsidRDefault="00F13F54" w:rsidP="00F13F54">
      <w:pPr>
        <w:pStyle w:val="Aufzhlungszeichen3"/>
        <w:numPr>
          <w:ilvl w:val="0"/>
          <w:numId w:val="0"/>
        </w:numPr>
        <w:rPr>
          <w:lang w:val="en-CA"/>
        </w:rPr>
      </w:pPr>
    </w:p>
    <w:p w14:paraId="46FFE503" w14:textId="77777777" w:rsidR="00F13F54" w:rsidRPr="003F0C34" w:rsidRDefault="00F13F54" w:rsidP="00F13F54">
      <w:pPr>
        <w:pStyle w:val="Aufzhlungszeichen3"/>
        <w:numPr>
          <w:ilvl w:val="0"/>
          <w:numId w:val="0"/>
        </w:numPr>
        <w:rPr>
          <w:b/>
          <w:bCs/>
          <w:lang w:val="en-CA"/>
        </w:rPr>
      </w:pPr>
      <w:r w:rsidRPr="003F0C34">
        <w:rPr>
          <w:b/>
          <w:bCs/>
          <w:lang w:val="en-CA"/>
        </w:rPr>
        <w:t>About TPA: Facts and Figures</w:t>
      </w:r>
    </w:p>
    <w:p w14:paraId="6201881E" w14:textId="77777777" w:rsidR="00F13F54" w:rsidRPr="00F13F54" w:rsidRDefault="00F13F54" w:rsidP="00F13F54">
      <w:pPr>
        <w:pStyle w:val="Aufzhlungszeichen3"/>
        <w:numPr>
          <w:ilvl w:val="0"/>
          <w:numId w:val="0"/>
        </w:numPr>
        <w:rPr>
          <w:lang w:val="en-CA"/>
        </w:rPr>
      </w:pPr>
      <w:r w:rsidRPr="00F13F54">
        <w:rPr>
          <w:lang w:val="en-CA"/>
        </w:rPr>
        <w:t xml:space="preserve">TPA is one of the leading tax consulting firms in Austria. Its services include tax consulting, accounting, and business consulting. With 850 employees across 15 Austrian branches, TPA is available to assist. Locations include </w:t>
      </w:r>
      <w:proofErr w:type="spellStart"/>
      <w:r w:rsidRPr="00F13F54">
        <w:rPr>
          <w:lang w:val="en-CA"/>
        </w:rPr>
        <w:t>Gmünd</w:t>
      </w:r>
      <w:proofErr w:type="spellEnd"/>
      <w:r w:rsidRPr="00F13F54">
        <w:rPr>
          <w:lang w:val="en-CA"/>
        </w:rPr>
        <w:t xml:space="preserve">, Graz, </w:t>
      </w:r>
      <w:proofErr w:type="spellStart"/>
      <w:r w:rsidRPr="00F13F54">
        <w:rPr>
          <w:lang w:val="en-CA"/>
        </w:rPr>
        <w:t>Hermagor</w:t>
      </w:r>
      <w:proofErr w:type="spellEnd"/>
      <w:r w:rsidRPr="00F13F54">
        <w:rPr>
          <w:lang w:val="en-CA"/>
        </w:rPr>
        <w:t xml:space="preserve">, Innsbruck, Klagenfurt, </w:t>
      </w:r>
      <w:proofErr w:type="spellStart"/>
      <w:r w:rsidRPr="00F13F54">
        <w:rPr>
          <w:lang w:val="en-CA"/>
        </w:rPr>
        <w:t>Krems</w:t>
      </w:r>
      <w:proofErr w:type="spellEnd"/>
      <w:r w:rsidRPr="00F13F54">
        <w:rPr>
          <w:lang w:val="en-CA"/>
        </w:rPr>
        <w:t xml:space="preserve">, </w:t>
      </w:r>
      <w:proofErr w:type="spellStart"/>
      <w:r w:rsidRPr="00F13F54">
        <w:rPr>
          <w:lang w:val="en-CA"/>
        </w:rPr>
        <w:t>Langenlois</w:t>
      </w:r>
      <w:proofErr w:type="spellEnd"/>
      <w:r w:rsidRPr="00F13F54">
        <w:rPr>
          <w:lang w:val="en-CA"/>
        </w:rPr>
        <w:t xml:space="preserve">, Lilienfeld, Linz, </w:t>
      </w:r>
      <w:proofErr w:type="spellStart"/>
      <w:r w:rsidRPr="00F13F54">
        <w:rPr>
          <w:lang w:val="en-CA"/>
        </w:rPr>
        <w:t>Schrems</w:t>
      </w:r>
      <w:proofErr w:type="spellEnd"/>
      <w:r w:rsidRPr="00F13F54">
        <w:rPr>
          <w:lang w:val="en-CA"/>
        </w:rPr>
        <w:t xml:space="preserve">, St. </w:t>
      </w:r>
      <w:proofErr w:type="spellStart"/>
      <w:r w:rsidRPr="00F13F54">
        <w:rPr>
          <w:lang w:val="en-CA"/>
        </w:rPr>
        <w:t>Pölten</w:t>
      </w:r>
      <w:proofErr w:type="spellEnd"/>
      <w:r w:rsidRPr="00F13F54">
        <w:rPr>
          <w:lang w:val="en-CA"/>
        </w:rPr>
        <w:t xml:space="preserve">, </w:t>
      </w:r>
      <w:proofErr w:type="spellStart"/>
      <w:r w:rsidRPr="00F13F54">
        <w:rPr>
          <w:lang w:val="en-CA"/>
        </w:rPr>
        <w:t>Telfs</w:t>
      </w:r>
      <w:proofErr w:type="spellEnd"/>
      <w:r w:rsidRPr="00F13F54">
        <w:rPr>
          <w:lang w:val="en-CA"/>
        </w:rPr>
        <w:t>, Villach, Vienna, and Zwettl.</w:t>
      </w:r>
    </w:p>
    <w:p w14:paraId="6FCFD38B" w14:textId="77777777" w:rsidR="00F13F54" w:rsidRPr="00F13F54" w:rsidRDefault="00F13F54" w:rsidP="00F13F54">
      <w:pPr>
        <w:pStyle w:val="Aufzhlungszeichen3"/>
        <w:numPr>
          <w:ilvl w:val="0"/>
          <w:numId w:val="0"/>
        </w:numPr>
        <w:ind w:left="1077"/>
        <w:rPr>
          <w:lang w:val="en-CA"/>
        </w:rPr>
      </w:pPr>
    </w:p>
    <w:p w14:paraId="12F363E0" w14:textId="4D8F88E6" w:rsidR="00F13F54" w:rsidRPr="00F13F54" w:rsidRDefault="00F13F54" w:rsidP="00F13F54">
      <w:pPr>
        <w:pStyle w:val="Aufzhlungszeichen3"/>
        <w:numPr>
          <w:ilvl w:val="0"/>
          <w:numId w:val="0"/>
        </w:numPr>
        <w:rPr>
          <w:lang w:val="en-CA"/>
        </w:rPr>
      </w:pPr>
      <w:r w:rsidRPr="00F13F54">
        <w:rPr>
          <w:lang w:val="en-CA"/>
        </w:rPr>
        <w:t xml:space="preserve">The TPA Group has over 2,050 employees across 11 other Central and Southeast European countries: Albania, Bulgaria, Croatia, Montenegro, Poland, Romania, Serbia, Slovakia, Slovenia, </w:t>
      </w:r>
      <w:proofErr w:type="gramStart"/>
      <w:r w:rsidRPr="00F13F54">
        <w:rPr>
          <w:lang w:val="en-CA"/>
        </w:rPr>
        <w:t>Czechia</w:t>
      </w:r>
      <w:proofErr w:type="gramEnd"/>
      <w:r w:rsidR="009B2E3F">
        <w:rPr>
          <w:lang w:val="en-CA"/>
        </w:rPr>
        <w:t xml:space="preserve"> </w:t>
      </w:r>
      <w:r w:rsidRPr="00F13F54">
        <w:rPr>
          <w:lang w:val="en-CA"/>
        </w:rPr>
        <w:t>and Hungary.</w:t>
      </w:r>
    </w:p>
    <w:p w14:paraId="1E4B3CE7" w14:textId="77777777" w:rsidR="00F13F54" w:rsidRPr="00F13F54" w:rsidRDefault="00F13F54" w:rsidP="00F13F54">
      <w:pPr>
        <w:pStyle w:val="Aufzhlungszeichen3"/>
        <w:numPr>
          <w:ilvl w:val="0"/>
          <w:numId w:val="0"/>
        </w:numPr>
        <w:rPr>
          <w:lang w:val="en-CA"/>
        </w:rPr>
      </w:pPr>
    </w:p>
    <w:p w14:paraId="476C2A0E" w14:textId="5B16726C" w:rsidR="00F13F54" w:rsidRDefault="00F13F54" w:rsidP="00F13F54">
      <w:pPr>
        <w:pStyle w:val="Aufzhlungszeichen3"/>
        <w:numPr>
          <w:ilvl w:val="0"/>
          <w:numId w:val="0"/>
        </w:numPr>
        <w:rPr>
          <w:lang w:val="en-CA"/>
        </w:rPr>
      </w:pPr>
      <w:r w:rsidRPr="00F13F54">
        <w:rPr>
          <w:lang w:val="en-CA"/>
        </w:rPr>
        <w:t xml:space="preserve">For more information, visit our websites: </w:t>
      </w:r>
      <w:hyperlink r:id="rId8" w:history="1">
        <w:r w:rsidR="00536C09" w:rsidRPr="00505B27">
          <w:rPr>
            <w:rStyle w:val="Hyperlink"/>
            <w:lang w:val="en-CA"/>
          </w:rPr>
          <w:t>www.tpa-group.at</w:t>
        </w:r>
      </w:hyperlink>
      <w:r w:rsidR="00536C09">
        <w:rPr>
          <w:lang w:val="en-CA"/>
        </w:rPr>
        <w:t xml:space="preserve"> </w:t>
      </w:r>
      <w:r w:rsidRPr="00F13F54">
        <w:rPr>
          <w:lang w:val="en-CA"/>
        </w:rPr>
        <w:t xml:space="preserve">and </w:t>
      </w:r>
      <w:hyperlink r:id="rId9" w:history="1">
        <w:r w:rsidR="00536C09" w:rsidRPr="00505B27">
          <w:rPr>
            <w:rStyle w:val="Hyperlink"/>
            <w:lang w:val="en-CA"/>
          </w:rPr>
          <w:t>www.tpa-group.com</w:t>
        </w:r>
      </w:hyperlink>
    </w:p>
    <w:p w14:paraId="1B964782" w14:textId="77777777" w:rsidR="00F13F54" w:rsidRPr="00F13F54" w:rsidRDefault="00F13F54" w:rsidP="00F13F54">
      <w:pPr>
        <w:pStyle w:val="Aufzhlungszeichen3"/>
        <w:numPr>
          <w:ilvl w:val="0"/>
          <w:numId w:val="0"/>
        </w:numPr>
        <w:rPr>
          <w:lang w:val="en-CA"/>
        </w:rPr>
      </w:pPr>
    </w:p>
    <w:p w14:paraId="6F4219B2" w14:textId="78ECF554" w:rsidR="00F13F54" w:rsidRPr="00F13F54" w:rsidRDefault="00F13F54" w:rsidP="00F13F54">
      <w:pPr>
        <w:pStyle w:val="Aufzhlungszeichen3"/>
        <w:numPr>
          <w:ilvl w:val="0"/>
          <w:numId w:val="0"/>
        </w:numPr>
        <w:rPr>
          <w:lang w:val="en-CA"/>
        </w:rPr>
      </w:pPr>
      <w:r w:rsidRPr="00F13F54">
        <w:rPr>
          <w:lang w:val="en-CA"/>
        </w:rPr>
        <w:t xml:space="preserve">The complete study comparing </w:t>
      </w:r>
      <w:hyperlink r:id="rId10" w:history="1">
        <w:r w:rsidRPr="00536C09">
          <w:rPr>
            <w:rStyle w:val="Hyperlink"/>
            <w:lang w:val="en-CA"/>
          </w:rPr>
          <w:t>personnel c</w:t>
        </w:r>
        <w:r w:rsidRPr="00536C09">
          <w:rPr>
            <w:rStyle w:val="Hyperlink"/>
            <w:lang w:val="en-CA"/>
          </w:rPr>
          <w:t>o</w:t>
        </w:r>
        <w:r w:rsidRPr="00536C09">
          <w:rPr>
            <w:rStyle w:val="Hyperlink"/>
            <w:lang w:val="en-CA"/>
          </w:rPr>
          <w:t>sts and employer labor costs</w:t>
        </w:r>
      </w:hyperlink>
      <w:r w:rsidRPr="00F13F54">
        <w:rPr>
          <w:lang w:val="en-CA"/>
        </w:rPr>
        <w:t xml:space="preserve"> can be found</w:t>
      </w:r>
      <w:r>
        <w:rPr>
          <w:lang w:val="en-CA"/>
        </w:rPr>
        <w:t xml:space="preserve"> </w:t>
      </w:r>
      <w:r w:rsidRPr="00F13F54">
        <w:rPr>
          <w:lang w:val="en-CA"/>
        </w:rPr>
        <w:t>here.</w:t>
      </w:r>
    </w:p>
    <w:p w14:paraId="55E0A8D7" w14:textId="77777777" w:rsidR="00F13F54" w:rsidRPr="00F13F54" w:rsidRDefault="00F13F54" w:rsidP="00F13F54">
      <w:pPr>
        <w:pStyle w:val="Aufzhlungszeichen3"/>
        <w:numPr>
          <w:ilvl w:val="0"/>
          <w:numId w:val="0"/>
        </w:numPr>
        <w:rPr>
          <w:lang w:val="en-CA"/>
        </w:rPr>
      </w:pPr>
    </w:p>
    <w:p w14:paraId="26BA1E98" w14:textId="27708D77" w:rsidR="00F13F54" w:rsidRPr="002967A3" w:rsidRDefault="00F13F54" w:rsidP="00F13F54">
      <w:pPr>
        <w:pStyle w:val="Aufzhlungszeichen3"/>
        <w:numPr>
          <w:ilvl w:val="0"/>
          <w:numId w:val="0"/>
        </w:numPr>
        <w:rPr>
          <w:b/>
          <w:bCs/>
          <w:lang w:val="en-CA"/>
        </w:rPr>
      </w:pPr>
      <w:r w:rsidRPr="002967A3">
        <w:rPr>
          <w:b/>
          <w:bCs/>
          <w:lang w:val="en-CA"/>
        </w:rPr>
        <w:t xml:space="preserve">Contact Information for </w:t>
      </w:r>
      <w:r w:rsidR="002967A3">
        <w:rPr>
          <w:b/>
          <w:bCs/>
          <w:lang w:val="en-CA"/>
        </w:rPr>
        <w:t>f</w:t>
      </w:r>
      <w:r w:rsidRPr="002967A3">
        <w:rPr>
          <w:b/>
          <w:bCs/>
          <w:lang w:val="en-CA"/>
        </w:rPr>
        <w:t>urther</w:t>
      </w:r>
      <w:r w:rsidR="002967A3">
        <w:rPr>
          <w:b/>
          <w:bCs/>
          <w:lang w:val="en-CA"/>
        </w:rPr>
        <w:t xml:space="preserve"> i</w:t>
      </w:r>
      <w:r w:rsidRPr="002967A3">
        <w:rPr>
          <w:b/>
          <w:bCs/>
          <w:lang w:val="en-CA"/>
        </w:rPr>
        <w:t>nquiries:</w:t>
      </w:r>
    </w:p>
    <w:p w14:paraId="4D346291" w14:textId="77777777" w:rsidR="00F13F54" w:rsidRPr="00F13F54" w:rsidRDefault="00F13F54" w:rsidP="00F13F54">
      <w:pPr>
        <w:pStyle w:val="Aufzhlungszeichen3"/>
        <w:numPr>
          <w:ilvl w:val="0"/>
          <w:numId w:val="0"/>
        </w:numPr>
        <w:rPr>
          <w:lang w:val="en-CA"/>
        </w:rPr>
      </w:pPr>
      <w:r w:rsidRPr="00F13F54">
        <w:rPr>
          <w:lang w:val="en-CA"/>
        </w:rPr>
        <w:t>Mag. (FH) Gerald Sinabell | Head of Corporate Communications</w:t>
      </w:r>
    </w:p>
    <w:p w14:paraId="6DB63B1A" w14:textId="77777777" w:rsidR="00F13F54" w:rsidRPr="00F13F54" w:rsidRDefault="00F13F54" w:rsidP="00F13F54">
      <w:pPr>
        <w:pStyle w:val="Aufzhlungszeichen3"/>
        <w:numPr>
          <w:ilvl w:val="0"/>
          <w:numId w:val="0"/>
        </w:numPr>
        <w:rPr>
          <w:lang w:val="en-CA"/>
        </w:rPr>
      </w:pPr>
      <w:r w:rsidRPr="00F13F54">
        <w:rPr>
          <w:lang w:val="en-CA"/>
        </w:rPr>
        <w:t>Phone: +43 1 588 35-428</w:t>
      </w:r>
    </w:p>
    <w:p w14:paraId="030639E7" w14:textId="77777777" w:rsidR="00F13F54" w:rsidRPr="00F13F54" w:rsidRDefault="00F13F54" w:rsidP="00F13F54">
      <w:pPr>
        <w:pStyle w:val="Aufzhlungszeichen3"/>
        <w:numPr>
          <w:ilvl w:val="0"/>
          <w:numId w:val="0"/>
        </w:numPr>
        <w:rPr>
          <w:lang w:val="en-CA"/>
        </w:rPr>
      </w:pPr>
      <w:r w:rsidRPr="00F13F54">
        <w:rPr>
          <w:lang w:val="en-CA"/>
        </w:rPr>
        <w:t>Email: gerald.sinabell@tpa-group.at</w:t>
      </w:r>
    </w:p>
    <w:p w14:paraId="20E8044C" w14:textId="77777777" w:rsidR="00F13F54" w:rsidRPr="00F13F54" w:rsidRDefault="00F13F54" w:rsidP="00F13F54">
      <w:pPr>
        <w:pStyle w:val="Aufzhlungszeichen3"/>
        <w:numPr>
          <w:ilvl w:val="0"/>
          <w:numId w:val="0"/>
        </w:numPr>
        <w:rPr>
          <w:lang w:val="en-CA"/>
        </w:rPr>
      </w:pPr>
    </w:p>
    <w:p w14:paraId="7FF9A5FC" w14:textId="77777777" w:rsidR="00F13F54" w:rsidRPr="00F13F54" w:rsidRDefault="00F13F54" w:rsidP="00F13F54">
      <w:pPr>
        <w:pStyle w:val="Aufzhlungszeichen3"/>
        <w:numPr>
          <w:ilvl w:val="0"/>
          <w:numId w:val="0"/>
        </w:numPr>
        <w:rPr>
          <w:lang w:val="en-CA"/>
        </w:rPr>
      </w:pPr>
      <w:r w:rsidRPr="00F13F54">
        <w:rPr>
          <w:lang w:val="en-CA"/>
        </w:rPr>
        <w:t>Mag. Isabel Segrelles | Corporate Communications</w:t>
      </w:r>
    </w:p>
    <w:p w14:paraId="2761A53E" w14:textId="77777777" w:rsidR="00F13F54" w:rsidRPr="00F13F54" w:rsidRDefault="00F13F54" w:rsidP="00F13F54">
      <w:pPr>
        <w:pStyle w:val="Aufzhlungszeichen3"/>
        <w:numPr>
          <w:ilvl w:val="0"/>
          <w:numId w:val="0"/>
        </w:numPr>
        <w:rPr>
          <w:lang w:val="en-CA"/>
        </w:rPr>
      </w:pPr>
      <w:r w:rsidRPr="00F13F54">
        <w:rPr>
          <w:lang w:val="en-CA"/>
        </w:rPr>
        <w:t>Phone: +43 1 588 35-217</w:t>
      </w:r>
    </w:p>
    <w:p w14:paraId="72774D76" w14:textId="77E2B0E9" w:rsidR="003D23CE" w:rsidRPr="00F13F54" w:rsidRDefault="00F13F54" w:rsidP="00F13F54">
      <w:pPr>
        <w:pStyle w:val="Aufzhlungszeichen3"/>
        <w:numPr>
          <w:ilvl w:val="0"/>
          <w:numId w:val="0"/>
        </w:numPr>
        <w:rPr>
          <w:lang w:val="en-CA"/>
        </w:rPr>
      </w:pPr>
      <w:r w:rsidRPr="00F13F54">
        <w:rPr>
          <w:lang w:val="en-CA"/>
        </w:rPr>
        <w:t>Email: isab</w:t>
      </w:r>
      <w:r>
        <w:rPr>
          <w:lang w:val="en-CA"/>
        </w:rPr>
        <w:t>e</w:t>
      </w:r>
      <w:r w:rsidRPr="00F13F54">
        <w:rPr>
          <w:lang w:val="en-CA"/>
        </w:rPr>
        <w:t>l.segrelles-vaello@tpa-group.at</w:t>
      </w:r>
    </w:p>
    <w:sectPr w:rsidR="003D23CE" w:rsidRPr="00F13F54" w:rsidSect="00BE6F3E">
      <w:headerReference w:type="default" r:id="rId11"/>
      <w:headerReference w:type="first" r:id="rId12"/>
      <w:footerReference w:type="first" r:id="rId13"/>
      <w:pgSz w:w="11906" w:h="16838" w:code="9"/>
      <w:pgMar w:top="2126" w:right="1418" w:bottom="1985"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14FA" w14:textId="77777777" w:rsidR="00C24EF3" w:rsidRDefault="00C24EF3" w:rsidP="00956F35">
      <w:pPr>
        <w:spacing w:line="240" w:lineRule="auto"/>
      </w:pPr>
      <w:r>
        <w:separator/>
      </w:r>
    </w:p>
  </w:endnote>
  <w:endnote w:type="continuationSeparator" w:id="0">
    <w:p w14:paraId="032F4552" w14:textId="77777777" w:rsidR="00C24EF3" w:rsidRDefault="00C24EF3" w:rsidP="00956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8E32" w14:textId="77777777" w:rsidR="00C10C20" w:rsidRPr="001D6D4D" w:rsidRDefault="00C10C20" w:rsidP="000205E3">
    <w:pPr>
      <w:spacing w:before="120" w:line="160" w:lineRule="exact"/>
      <w:ind w:right="-141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ACA3" w14:textId="77777777" w:rsidR="00C24EF3" w:rsidRDefault="00C24EF3" w:rsidP="00956F35">
      <w:pPr>
        <w:spacing w:line="240" w:lineRule="auto"/>
      </w:pPr>
      <w:r>
        <w:separator/>
      </w:r>
    </w:p>
  </w:footnote>
  <w:footnote w:type="continuationSeparator" w:id="0">
    <w:p w14:paraId="6EDE0856" w14:textId="77777777" w:rsidR="00C24EF3" w:rsidRDefault="00C24EF3" w:rsidP="00956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20A8" w14:textId="77777777" w:rsidR="009E6638" w:rsidRDefault="009E6638">
    <w:pPr>
      <w:pStyle w:val="Kopfzeile"/>
    </w:pPr>
    <w:r>
      <w:rPr>
        <w:noProof/>
        <w:lang w:eastAsia="de-AT"/>
      </w:rPr>
      <w:drawing>
        <wp:anchor distT="0" distB="0" distL="114300" distR="114300" simplePos="0" relativeHeight="251661312" behindDoc="0" locked="0" layoutInCell="1" allowOverlap="1" wp14:anchorId="2FCD198C" wp14:editId="6A59ECD8">
          <wp:simplePos x="0" y="0"/>
          <wp:positionH relativeFrom="page">
            <wp:align>center</wp:align>
          </wp:positionH>
          <wp:positionV relativeFrom="topMargin">
            <wp:posOffset>360045</wp:posOffset>
          </wp:positionV>
          <wp:extent cx="864000" cy="6444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0E40" w14:textId="77777777" w:rsidR="009E6638" w:rsidRDefault="009E6638">
    <w:pPr>
      <w:pStyle w:val="Kopfzeile"/>
    </w:pPr>
    <w:r w:rsidRPr="008F1279">
      <w:rPr>
        <w:noProof/>
        <w:sz w:val="16"/>
        <w:szCs w:val="16"/>
        <w:lang w:eastAsia="de-AT"/>
      </w:rPr>
      <w:drawing>
        <wp:anchor distT="0" distB="0" distL="114300" distR="114300" simplePos="0" relativeHeight="251659264" behindDoc="0" locked="0" layoutInCell="1" allowOverlap="1" wp14:anchorId="16E00445" wp14:editId="2B1090D4">
          <wp:simplePos x="0" y="0"/>
          <wp:positionH relativeFrom="page">
            <wp:posOffset>3154045</wp:posOffset>
          </wp:positionH>
          <wp:positionV relativeFrom="topMargin">
            <wp:posOffset>360045</wp:posOffset>
          </wp:positionV>
          <wp:extent cx="1224000" cy="910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000" cy="91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CD229F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AE8BC1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2430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794616"/>
    <w:multiLevelType w:val="multilevel"/>
    <w:tmpl w:val="348C5B48"/>
    <w:numStyleLink w:val="berschriften1-4"/>
  </w:abstractNum>
  <w:abstractNum w:abstractNumId="4" w15:restartNumberingAfterBreak="0">
    <w:nsid w:val="02176CAF"/>
    <w:multiLevelType w:val="multilevel"/>
    <w:tmpl w:val="EF423766"/>
    <w:numStyleLink w:val="Bullets"/>
  </w:abstractNum>
  <w:abstractNum w:abstractNumId="5" w15:restartNumberingAfterBreak="0">
    <w:nsid w:val="035C1165"/>
    <w:multiLevelType w:val="multilevel"/>
    <w:tmpl w:val="580E917E"/>
    <w:lvl w:ilvl="0">
      <w:start w:val="1"/>
      <w:numFmt w:val="bullet"/>
      <w:lvlText w:val=""/>
      <w:lvlJc w:val="left"/>
      <w:pPr>
        <w:ind w:left="227" w:hanging="227"/>
      </w:pPr>
      <w:rPr>
        <w:rFonts w:ascii="Symbol" w:hAnsi="Symbol" w:hint="default"/>
        <w:b w:val="0"/>
        <w:bCs w:val="0"/>
        <w:i w:val="0"/>
        <w:iCs w:val="0"/>
        <w:color w:val="416570" w:themeColor="accent6" w:themeShade="BF"/>
        <w:sz w:val="18"/>
        <w:szCs w:val="18"/>
      </w:rPr>
    </w:lvl>
    <w:lvl w:ilvl="1">
      <w:start w:val="1"/>
      <w:numFmt w:val="bullet"/>
      <w:lvlRestart w:val="0"/>
      <w:lvlText w:val=""/>
      <w:lvlJc w:val="left"/>
      <w:pPr>
        <w:ind w:left="454" w:hanging="227"/>
      </w:pPr>
      <w:rPr>
        <w:rFonts w:ascii="Symbol" w:hAnsi="Symbol" w:hint="default"/>
        <w:b w:val="0"/>
        <w:bCs w:val="0"/>
        <w:i w:val="0"/>
        <w:iCs w:val="0"/>
        <w:color w:val="416570" w:themeColor="accent6" w:themeShade="BF"/>
        <w:sz w:val="18"/>
        <w:szCs w:val="18"/>
      </w:rPr>
    </w:lvl>
    <w:lvl w:ilvl="2">
      <w:start w:val="1"/>
      <w:numFmt w:val="bullet"/>
      <w:lvlRestart w:val="0"/>
      <w:lvlText w:val=""/>
      <w:lvlJc w:val="left"/>
      <w:pPr>
        <w:ind w:left="680" w:hanging="226"/>
      </w:pPr>
      <w:rPr>
        <w:rFonts w:ascii="Symbol" w:hAnsi="Symbol" w:hint="default"/>
        <w:color w:val="416570" w:themeColor="accent6" w:themeShade="BF"/>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9A77190"/>
    <w:multiLevelType w:val="multilevel"/>
    <w:tmpl w:val="348C5B48"/>
    <w:styleLink w:val="berschriften1-4"/>
    <w:lvl w:ilvl="0">
      <w:start w:val="1"/>
      <w:numFmt w:val="decimal"/>
      <w:pStyle w:val="berschrift1"/>
      <w:lvlText w:val="%1."/>
      <w:lvlJc w:val="left"/>
      <w:pPr>
        <w:ind w:left="431" w:hanging="431"/>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365EF8"/>
    <w:multiLevelType w:val="multilevel"/>
    <w:tmpl w:val="348C5B48"/>
    <w:numStyleLink w:val="berschriften1-4"/>
  </w:abstractNum>
  <w:abstractNum w:abstractNumId="8" w15:restartNumberingAfterBreak="0">
    <w:nsid w:val="14F82784"/>
    <w:multiLevelType w:val="multilevel"/>
    <w:tmpl w:val="348C5B48"/>
    <w:numStyleLink w:val="berschriften1-4"/>
  </w:abstractNum>
  <w:abstractNum w:abstractNumId="9" w15:restartNumberingAfterBreak="0">
    <w:nsid w:val="1AF54EE2"/>
    <w:multiLevelType w:val="multilevel"/>
    <w:tmpl w:val="01489BBC"/>
    <w:lvl w:ilvl="0">
      <w:start w:val="1"/>
      <w:numFmt w:val="ordinal"/>
      <w:suff w:val="space"/>
      <w:lvlText w:val="%1"/>
      <w:lvlJc w:val="left"/>
      <w:pPr>
        <w:ind w:left="284" w:hanging="284"/>
      </w:pPr>
      <w:rPr>
        <w:rFonts w:ascii="Arial" w:hAnsi="Arial" w:hint="default"/>
        <w:sz w:val="20"/>
      </w:rPr>
    </w:lvl>
    <w:lvl w:ilvl="1">
      <w:start w:val="1"/>
      <w:numFmt w:val="ordinal"/>
      <w:suff w:val="space"/>
      <w:lvlText w:val="%21."/>
      <w:lvlJc w:val="left"/>
      <w:pPr>
        <w:ind w:left="227" w:firstLine="0"/>
      </w:pPr>
      <w:rPr>
        <w:rFonts w:ascii="Arial" w:hAnsi="Arial" w:hint="default"/>
        <w:sz w:val="20"/>
      </w:rPr>
    </w:lvl>
    <w:lvl w:ilvl="2">
      <w:start w:val="1"/>
      <w:numFmt w:val="ordinal"/>
      <w:suff w:val="space"/>
      <w:lvlText w:val="%31.1."/>
      <w:lvlJc w:val="left"/>
      <w:pPr>
        <w:ind w:left="397" w:firstLine="0"/>
      </w:pPr>
      <w:rPr>
        <w:rFonts w:ascii="Arial" w:hAnsi="Arial" w:hint="default"/>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C6573B1"/>
    <w:multiLevelType w:val="multilevel"/>
    <w:tmpl w:val="348C5B48"/>
    <w:numStyleLink w:val="berschriften1-4"/>
  </w:abstractNum>
  <w:abstractNum w:abstractNumId="11" w15:restartNumberingAfterBreak="0">
    <w:nsid w:val="2848000A"/>
    <w:multiLevelType w:val="hybridMultilevel"/>
    <w:tmpl w:val="5DF2A6DC"/>
    <w:lvl w:ilvl="0" w:tplc="21DC3A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40031"/>
    <w:multiLevelType w:val="multilevel"/>
    <w:tmpl w:val="580E917E"/>
    <w:lvl w:ilvl="0">
      <w:start w:val="1"/>
      <w:numFmt w:val="bullet"/>
      <w:lvlText w:val=""/>
      <w:lvlJc w:val="left"/>
      <w:pPr>
        <w:ind w:left="227" w:hanging="227"/>
      </w:pPr>
      <w:rPr>
        <w:rFonts w:ascii="Symbol" w:hAnsi="Symbol" w:hint="default"/>
        <w:b w:val="0"/>
        <w:bCs w:val="0"/>
        <w:i w:val="0"/>
        <w:iCs w:val="0"/>
        <w:color w:val="416570" w:themeColor="accent6" w:themeShade="BF"/>
        <w:sz w:val="18"/>
        <w:szCs w:val="18"/>
      </w:rPr>
    </w:lvl>
    <w:lvl w:ilvl="1">
      <w:start w:val="1"/>
      <w:numFmt w:val="bullet"/>
      <w:lvlRestart w:val="0"/>
      <w:lvlText w:val=""/>
      <w:lvlJc w:val="left"/>
      <w:pPr>
        <w:ind w:left="454" w:hanging="227"/>
      </w:pPr>
      <w:rPr>
        <w:rFonts w:ascii="Symbol" w:hAnsi="Symbol" w:hint="default"/>
        <w:b w:val="0"/>
        <w:bCs w:val="0"/>
        <w:i w:val="0"/>
        <w:iCs w:val="0"/>
        <w:color w:val="416570" w:themeColor="accent6" w:themeShade="BF"/>
        <w:sz w:val="18"/>
        <w:szCs w:val="18"/>
      </w:rPr>
    </w:lvl>
    <w:lvl w:ilvl="2">
      <w:start w:val="1"/>
      <w:numFmt w:val="bullet"/>
      <w:lvlRestart w:val="0"/>
      <w:lvlText w:val=""/>
      <w:lvlJc w:val="left"/>
      <w:pPr>
        <w:ind w:left="680" w:hanging="226"/>
      </w:pPr>
      <w:rPr>
        <w:rFonts w:ascii="Symbol" w:hAnsi="Symbol" w:hint="default"/>
        <w:color w:val="416570" w:themeColor="accent6" w:themeShade="BF"/>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B47757F"/>
    <w:multiLevelType w:val="multilevel"/>
    <w:tmpl w:val="348C5B48"/>
    <w:numStyleLink w:val="berschriften1-4"/>
  </w:abstractNum>
  <w:abstractNum w:abstractNumId="14" w15:restartNumberingAfterBreak="0">
    <w:nsid w:val="2B4C328B"/>
    <w:multiLevelType w:val="multilevel"/>
    <w:tmpl w:val="EF423766"/>
    <w:numStyleLink w:val="Bullets"/>
  </w:abstractNum>
  <w:abstractNum w:abstractNumId="15" w15:restartNumberingAfterBreak="0">
    <w:nsid w:val="2BC32646"/>
    <w:multiLevelType w:val="multilevel"/>
    <w:tmpl w:val="EF423766"/>
    <w:numStyleLink w:val="Bullets"/>
  </w:abstractNum>
  <w:abstractNum w:abstractNumId="16" w15:restartNumberingAfterBreak="0">
    <w:nsid w:val="340E3671"/>
    <w:multiLevelType w:val="multilevel"/>
    <w:tmpl w:val="0C07001D"/>
    <w:lvl w:ilvl="0">
      <w:start w:val="1"/>
      <w:numFmt w:val="bullet"/>
      <w:lvlText w:val=""/>
      <w:lvlJc w:val="left"/>
      <w:pPr>
        <w:ind w:left="360" w:hanging="360"/>
      </w:pPr>
      <w:rPr>
        <w:rFonts w:ascii="Webdings" w:hAnsi="Webdings"/>
        <w:color w:val="FFC000"/>
      </w:rPr>
    </w:lvl>
    <w:lvl w:ilvl="1">
      <w:start w:val="1"/>
      <w:numFmt w:val="bullet"/>
      <w:lvlText w:val=""/>
      <w:lvlJc w:val="left"/>
      <w:pPr>
        <w:ind w:left="720" w:hanging="360"/>
      </w:pPr>
      <w:rPr>
        <w:rFonts w:ascii="Webdings" w:hAnsi="Webdings"/>
        <w:color w:val="BFBFBF"/>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91516"/>
    <w:multiLevelType w:val="multilevel"/>
    <w:tmpl w:val="348C5B48"/>
    <w:numStyleLink w:val="berschriften1-4"/>
  </w:abstractNum>
  <w:abstractNum w:abstractNumId="18" w15:restartNumberingAfterBreak="0">
    <w:nsid w:val="3BB24D21"/>
    <w:multiLevelType w:val="multilevel"/>
    <w:tmpl w:val="EF423766"/>
    <w:numStyleLink w:val="Bullets"/>
  </w:abstractNum>
  <w:abstractNum w:abstractNumId="19" w15:restartNumberingAfterBreak="0">
    <w:nsid w:val="3BBA219F"/>
    <w:multiLevelType w:val="singleLevel"/>
    <w:tmpl w:val="E474FACE"/>
    <w:lvl w:ilvl="0">
      <w:start w:val="1"/>
      <w:numFmt w:val="bullet"/>
      <w:pStyle w:val="Aufzhlungszeichen"/>
      <w:lvlText w:val=""/>
      <w:lvlJc w:val="left"/>
      <w:pPr>
        <w:ind w:left="360" w:hanging="360"/>
      </w:pPr>
      <w:rPr>
        <w:rFonts w:ascii="Webdings" w:hAnsi="Webdings" w:hint="default"/>
        <w:b w:val="0"/>
        <w:i w:val="0"/>
        <w:color w:val="366857" w:themeColor="accent2" w:themeShade="80"/>
        <w:sz w:val="20"/>
      </w:rPr>
    </w:lvl>
  </w:abstractNum>
  <w:abstractNum w:abstractNumId="20" w15:restartNumberingAfterBreak="0">
    <w:nsid w:val="48744AE9"/>
    <w:multiLevelType w:val="hybridMultilevel"/>
    <w:tmpl w:val="12A46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F5E0414"/>
    <w:multiLevelType w:val="hybridMultilevel"/>
    <w:tmpl w:val="5A863626"/>
    <w:lvl w:ilvl="0" w:tplc="68F02F28">
      <w:start w:val="1"/>
      <w:numFmt w:val="bullet"/>
      <w:lvlText w:val=""/>
      <w:lvlJc w:val="left"/>
      <w:pPr>
        <w:ind w:left="360" w:hanging="360"/>
      </w:pPr>
      <w:rPr>
        <w:rFonts w:ascii="Webdings" w:hAnsi="Webdings" w:hint="default"/>
        <w:color w:val="878787"/>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14E5FF0"/>
    <w:multiLevelType w:val="hybridMultilevel"/>
    <w:tmpl w:val="A7B697D6"/>
    <w:lvl w:ilvl="0" w:tplc="0F6E4DF4">
      <w:start w:val="1"/>
      <w:numFmt w:val="bullet"/>
      <w:lvlText w:val=""/>
      <w:lvlJc w:val="left"/>
      <w:pPr>
        <w:ind w:left="360" w:hanging="360"/>
      </w:pPr>
      <w:rPr>
        <w:rFonts w:ascii="Webdings" w:hAnsi="Webdings" w:hint="default"/>
        <w:color w:val="57AB2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F277A7"/>
    <w:multiLevelType w:val="hybridMultilevel"/>
    <w:tmpl w:val="3E1C2EA4"/>
    <w:lvl w:ilvl="0" w:tplc="22C2D22A">
      <w:start w:val="1"/>
      <w:numFmt w:val="bullet"/>
      <w:lvlText w:val=""/>
      <w:lvlJc w:val="left"/>
      <w:pPr>
        <w:ind w:left="720" w:hanging="360"/>
      </w:pPr>
      <w:rPr>
        <w:rFonts w:ascii="Symbol" w:hAnsi="Symbol" w:hint="default"/>
        <w:b w:val="0"/>
        <w:i w:val="0"/>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DD24A5"/>
    <w:multiLevelType w:val="multilevel"/>
    <w:tmpl w:val="348C5B48"/>
    <w:numStyleLink w:val="berschriften1-4"/>
  </w:abstractNum>
  <w:abstractNum w:abstractNumId="25" w15:restartNumberingAfterBreak="0">
    <w:nsid w:val="5E967AF6"/>
    <w:multiLevelType w:val="multilevel"/>
    <w:tmpl w:val="EF423766"/>
    <w:numStyleLink w:val="Bullets"/>
  </w:abstractNum>
  <w:abstractNum w:abstractNumId="26" w15:restartNumberingAfterBreak="0">
    <w:nsid w:val="643F1C68"/>
    <w:multiLevelType w:val="multilevel"/>
    <w:tmpl w:val="EF423766"/>
    <w:numStyleLink w:val="Bullets"/>
  </w:abstractNum>
  <w:abstractNum w:abstractNumId="27" w15:restartNumberingAfterBreak="0">
    <w:nsid w:val="6BE44538"/>
    <w:multiLevelType w:val="hybridMultilevel"/>
    <w:tmpl w:val="8AA2CC56"/>
    <w:lvl w:ilvl="0" w:tplc="FBC8CEB4">
      <w:start w:val="1"/>
      <w:numFmt w:val="bullet"/>
      <w:pStyle w:val="Aufzhlungszeichen2"/>
      <w:lvlText w:val=""/>
      <w:lvlJc w:val="left"/>
      <w:pPr>
        <w:ind w:left="1086" w:hanging="360"/>
      </w:pPr>
      <w:rPr>
        <w:rFonts w:ascii="Webdings" w:hAnsi="Webdings" w:hint="default"/>
        <w:b w:val="0"/>
        <w:i w:val="0"/>
        <w:color w:val="509C82" w:themeColor="accent2" w:themeShade="BF"/>
        <w:sz w:val="20"/>
      </w:rPr>
    </w:lvl>
    <w:lvl w:ilvl="1" w:tplc="0C070003">
      <w:start w:val="1"/>
      <w:numFmt w:val="bullet"/>
      <w:lvlText w:val="o"/>
      <w:lvlJc w:val="left"/>
      <w:pPr>
        <w:ind w:left="1806" w:hanging="360"/>
      </w:pPr>
      <w:rPr>
        <w:rFonts w:ascii="Courier New" w:hAnsi="Courier New" w:cs="Courier New" w:hint="default"/>
      </w:rPr>
    </w:lvl>
    <w:lvl w:ilvl="2" w:tplc="0C070005" w:tentative="1">
      <w:start w:val="1"/>
      <w:numFmt w:val="bullet"/>
      <w:lvlText w:val=""/>
      <w:lvlJc w:val="left"/>
      <w:pPr>
        <w:ind w:left="2526" w:hanging="360"/>
      </w:pPr>
      <w:rPr>
        <w:rFonts w:ascii="Wingdings" w:hAnsi="Wingdings" w:hint="default"/>
      </w:rPr>
    </w:lvl>
    <w:lvl w:ilvl="3" w:tplc="0C070001" w:tentative="1">
      <w:start w:val="1"/>
      <w:numFmt w:val="bullet"/>
      <w:lvlText w:val=""/>
      <w:lvlJc w:val="left"/>
      <w:pPr>
        <w:ind w:left="3246" w:hanging="360"/>
      </w:pPr>
      <w:rPr>
        <w:rFonts w:ascii="Symbol" w:hAnsi="Symbol" w:hint="default"/>
      </w:rPr>
    </w:lvl>
    <w:lvl w:ilvl="4" w:tplc="0C070003" w:tentative="1">
      <w:start w:val="1"/>
      <w:numFmt w:val="bullet"/>
      <w:lvlText w:val="o"/>
      <w:lvlJc w:val="left"/>
      <w:pPr>
        <w:ind w:left="3966" w:hanging="360"/>
      </w:pPr>
      <w:rPr>
        <w:rFonts w:ascii="Courier New" w:hAnsi="Courier New" w:cs="Courier New" w:hint="default"/>
      </w:rPr>
    </w:lvl>
    <w:lvl w:ilvl="5" w:tplc="0C070005" w:tentative="1">
      <w:start w:val="1"/>
      <w:numFmt w:val="bullet"/>
      <w:lvlText w:val=""/>
      <w:lvlJc w:val="left"/>
      <w:pPr>
        <w:ind w:left="4686" w:hanging="360"/>
      </w:pPr>
      <w:rPr>
        <w:rFonts w:ascii="Wingdings" w:hAnsi="Wingdings" w:hint="default"/>
      </w:rPr>
    </w:lvl>
    <w:lvl w:ilvl="6" w:tplc="0C070001" w:tentative="1">
      <w:start w:val="1"/>
      <w:numFmt w:val="bullet"/>
      <w:lvlText w:val=""/>
      <w:lvlJc w:val="left"/>
      <w:pPr>
        <w:ind w:left="5406" w:hanging="360"/>
      </w:pPr>
      <w:rPr>
        <w:rFonts w:ascii="Symbol" w:hAnsi="Symbol" w:hint="default"/>
      </w:rPr>
    </w:lvl>
    <w:lvl w:ilvl="7" w:tplc="0C070003" w:tentative="1">
      <w:start w:val="1"/>
      <w:numFmt w:val="bullet"/>
      <w:lvlText w:val="o"/>
      <w:lvlJc w:val="left"/>
      <w:pPr>
        <w:ind w:left="6126" w:hanging="360"/>
      </w:pPr>
      <w:rPr>
        <w:rFonts w:ascii="Courier New" w:hAnsi="Courier New" w:cs="Courier New" w:hint="default"/>
      </w:rPr>
    </w:lvl>
    <w:lvl w:ilvl="8" w:tplc="0C070005" w:tentative="1">
      <w:start w:val="1"/>
      <w:numFmt w:val="bullet"/>
      <w:lvlText w:val=""/>
      <w:lvlJc w:val="left"/>
      <w:pPr>
        <w:ind w:left="6846" w:hanging="360"/>
      </w:pPr>
      <w:rPr>
        <w:rFonts w:ascii="Wingdings" w:hAnsi="Wingdings" w:hint="default"/>
      </w:rPr>
    </w:lvl>
  </w:abstractNum>
  <w:abstractNum w:abstractNumId="28" w15:restartNumberingAfterBreak="0">
    <w:nsid w:val="6CAF4BFF"/>
    <w:multiLevelType w:val="hybridMultilevel"/>
    <w:tmpl w:val="5054052E"/>
    <w:lvl w:ilvl="0" w:tplc="0D76AD98">
      <w:start w:val="1"/>
      <w:numFmt w:val="bullet"/>
      <w:pStyle w:val="Aufzhlungszeichen3"/>
      <w:lvlText w:val="="/>
      <w:lvlJc w:val="left"/>
      <w:pPr>
        <w:ind w:left="1781" w:hanging="360"/>
      </w:pPr>
      <w:rPr>
        <w:rFonts w:ascii="Webdings" w:hAnsi="Webdings" w:hint="default"/>
        <w:color w:val="509C82" w:themeColor="accent2" w:themeShade="BF"/>
      </w:rPr>
    </w:lvl>
    <w:lvl w:ilvl="1" w:tplc="0C070003" w:tentative="1">
      <w:start w:val="1"/>
      <w:numFmt w:val="bullet"/>
      <w:lvlText w:val="o"/>
      <w:lvlJc w:val="left"/>
      <w:pPr>
        <w:ind w:left="2501" w:hanging="360"/>
      </w:pPr>
      <w:rPr>
        <w:rFonts w:ascii="Courier New" w:hAnsi="Courier New" w:cs="Courier New" w:hint="default"/>
      </w:rPr>
    </w:lvl>
    <w:lvl w:ilvl="2" w:tplc="0C070005" w:tentative="1">
      <w:start w:val="1"/>
      <w:numFmt w:val="bullet"/>
      <w:lvlText w:val=""/>
      <w:lvlJc w:val="left"/>
      <w:pPr>
        <w:ind w:left="3221" w:hanging="360"/>
      </w:pPr>
      <w:rPr>
        <w:rFonts w:ascii="Wingdings" w:hAnsi="Wingdings" w:hint="default"/>
      </w:rPr>
    </w:lvl>
    <w:lvl w:ilvl="3" w:tplc="0C070001" w:tentative="1">
      <w:start w:val="1"/>
      <w:numFmt w:val="bullet"/>
      <w:lvlText w:val=""/>
      <w:lvlJc w:val="left"/>
      <w:pPr>
        <w:ind w:left="3941" w:hanging="360"/>
      </w:pPr>
      <w:rPr>
        <w:rFonts w:ascii="Symbol" w:hAnsi="Symbol" w:hint="default"/>
      </w:rPr>
    </w:lvl>
    <w:lvl w:ilvl="4" w:tplc="0C070003" w:tentative="1">
      <w:start w:val="1"/>
      <w:numFmt w:val="bullet"/>
      <w:lvlText w:val="o"/>
      <w:lvlJc w:val="left"/>
      <w:pPr>
        <w:ind w:left="4661" w:hanging="360"/>
      </w:pPr>
      <w:rPr>
        <w:rFonts w:ascii="Courier New" w:hAnsi="Courier New" w:cs="Courier New" w:hint="default"/>
      </w:rPr>
    </w:lvl>
    <w:lvl w:ilvl="5" w:tplc="0C070005" w:tentative="1">
      <w:start w:val="1"/>
      <w:numFmt w:val="bullet"/>
      <w:lvlText w:val=""/>
      <w:lvlJc w:val="left"/>
      <w:pPr>
        <w:ind w:left="5381" w:hanging="360"/>
      </w:pPr>
      <w:rPr>
        <w:rFonts w:ascii="Wingdings" w:hAnsi="Wingdings" w:hint="default"/>
      </w:rPr>
    </w:lvl>
    <w:lvl w:ilvl="6" w:tplc="0C070001" w:tentative="1">
      <w:start w:val="1"/>
      <w:numFmt w:val="bullet"/>
      <w:lvlText w:val=""/>
      <w:lvlJc w:val="left"/>
      <w:pPr>
        <w:ind w:left="6101" w:hanging="360"/>
      </w:pPr>
      <w:rPr>
        <w:rFonts w:ascii="Symbol" w:hAnsi="Symbol" w:hint="default"/>
      </w:rPr>
    </w:lvl>
    <w:lvl w:ilvl="7" w:tplc="0C070003" w:tentative="1">
      <w:start w:val="1"/>
      <w:numFmt w:val="bullet"/>
      <w:lvlText w:val="o"/>
      <w:lvlJc w:val="left"/>
      <w:pPr>
        <w:ind w:left="6821" w:hanging="360"/>
      </w:pPr>
      <w:rPr>
        <w:rFonts w:ascii="Courier New" w:hAnsi="Courier New" w:cs="Courier New" w:hint="default"/>
      </w:rPr>
    </w:lvl>
    <w:lvl w:ilvl="8" w:tplc="0C070005" w:tentative="1">
      <w:start w:val="1"/>
      <w:numFmt w:val="bullet"/>
      <w:lvlText w:val=""/>
      <w:lvlJc w:val="left"/>
      <w:pPr>
        <w:ind w:left="7541" w:hanging="360"/>
      </w:pPr>
      <w:rPr>
        <w:rFonts w:ascii="Wingdings" w:hAnsi="Wingdings" w:hint="default"/>
      </w:rPr>
    </w:lvl>
  </w:abstractNum>
  <w:abstractNum w:abstractNumId="29" w15:restartNumberingAfterBreak="0">
    <w:nsid w:val="73AA1D83"/>
    <w:multiLevelType w:val="multilevel"/>
    <w:tmpl w:val="EF423766"/>
    <w:styleLink w:val="Bullets"/>
    <w:lvl w:ilvl="0">
      <w:start w:val="1"/>
      <w:numFmt w:val="bullet"/>
      <w:lvlText w:val=""/>
      <w:lvlJc w:val="left"/>
      <w:pPr>
        <w:ind w:left="360" w:hanging="360"/>
      </w:pPr>
      <w:rPr>
        <w:rFonts w:ascii="Webdings" w:hAnsi="Webdings" w:hint="default"/>
        <w:color w:val="5A6E89" w:themeColor="accent1"/>
      </w:rPr>
    </w:lvl>
    <w:lvl w:ilvl="1">
      <w:start w:val="1"/>
      <w:numFmt w:val="bullet"/>
      <w:lvlRestart w:val="0"/>
      <w:lvlText w:val=""/>
      <w:lvlJc w:val="left"/>
      <w:pPr>
        <w:ind w:left="714" w:hanging="354"/>
      </w:pPr>
      <w:rPr>
        <w:rFonts w:ascii="Webdings" w:hAnsi="Webdings" w:hint="default"/>
        <w:color w:val="7FBDA8" w:themeColor="accent2"/>
      </w:rPr>
    </w:lvl>
    <w:lvl w:ilvl="2">
      <w:start w:val="1"/>
      <w:numFmt w:val="bullet"/>
      <w:lvlRestart w:val="0"/>
      <w:lvlText w:val="-"/>
      <w:lvlJc w:val="left"/>
      <w:pPr>
        <w:ind w:left="1077" w:hanging="357"/>
      </w:pPr>
      <w:rPr>
        <w:rFonts w:ascii="Calibri" w:hAnsi="Calibri"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9964394"/>
    <w:multiLevelType w:val="multilevel"/>
    <w:tmpl w:val="EF423766"/>
    <w:numStyleLink w:val="Bullets"/>
  </w:abstractNum>
  <w:abstractNum w:abstractNumId="31" w15:restartNumberingAfterBreak="0">
    <w:nsid w:val="7A8A52DE"/>
    <w:multiLevelType w:val="multilevel"/>
    <w:tmpl w:val="01489BBC"/>
    <w:lvl w:ilvl="0">
      <w:start w:val="1"/>
      <w:numFmt w:val="ordinal"/>
      <w:suff w:val="space"/>
      <w:lvlText w:val="%1"/>
      <w:lvlJc w:val="left"/>
      <w:pPr>
        <w:ind w:left="284" w:hanging="284"/>
      </w:pPr>
      <w:rPr>
        <w:rFonts w:ascii="Arial" w:hAnsi="Arial" w:hint="default"/>
        <w:sz w:val="20"/>
      </w:rPr>
    </w:lvl>
    <w:lvl w:ilvl="1">
      <w:start w:val="1"/>
      <w:numFmt w:val="ordinal"/>
      <w:suff w:val="space"/>
      <w:lvlText w:val="%21."/>
      <w:lvlJc w:val="left"/>
      <w:pPr>
        <w:ind w:left="227" w:firstLine="0"/>
      </w:pPr>
      <w:rPr>
        <w:rFonts w:ascii="Arial" w:hAnsi="Arial" w:hint="default"/>
        <w:sz w:val="20"/>
      </w:rPr>
    </w:lvl>
    <w:lvl w:ilvl="2">
      <w:start w:val="1"/>
      <w:numFmt w:val="ordinal"/>
      <w:suff w:val="space"/>
      <w:lvlText w:val="%31.1."/>
      <w:lvlJc w:val="left"/>
      <w:pPr>
        <w:ind w:left="397" w:firstLine="0"/>
      </w:pPr>
      <w:rPr>
        <w:rFonts w:ascii="Arial" w:hAnsi="Arial" w:hint="default"/>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DA27250"/>
    <w:multiLevelType w:val="multilevel"/>
    <w:tmpl w:val="0C07001D"/>
    <w:lvl w:ilvl="0">
      <w:start w:val="1"/>
      <w:numFmt w:val="bullet"/>
      <w:lvlText w:val=""/>
      <w:lvlJc w:val="left"/>
      <w:pPr>
        <w:ind w:left="360" w:hanging="360"/>
      </w:pPr>
      <w:rPr>
        <w:rFonts w:ascii="Webdings" w:hAnsi="Webdings"/>
        <w:color w:val="FFC000"/>
      </w:rPr>
    </w:lvl>
    <w:lvl w:ilvl="1">
      <w:start w:val="1"/>
      <w:numFmt w:val="bullet"/>
      <w:lvlText w:val=""/>
      <w:lvlJc w:val="left"/>
      <w:pPr>
        <w:ind w:left="720" w:hanging="360"/>
      </w:pPr>
      <w:rPr>
        <w:rFonts w:ascii="Webdings" w:hAnsi="Webdings"/>
        <w:color w:val="BFBFBF"/>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6655494">
    <w:abstractNumId w:val="29"/>
  </w:num>
  <w:num w:numId="2" w16cid:durableId="669141870">
    <w:abstractNumId w:val="6"/>
  </w:num>
  <w:num w:numId="3" w16cid:durableId="258953671">
    <w:abstractNumId w:val="7"/>
  </w:num>
  <w:num w:numId="4" w16cid:durableId="1191533994">
    <w:abstractNumId w:val="8"/>
  </w:num>
  <w:num w:numId="5" w16cid:durableId="219025172">
    <w:abstractNumId w:val="4"/>
  </w:num>
  <w:num w:numId="6" w16cid:durableId="1475217587">
    <w:abstractNumId w:val="30"/>
  </w:num>
  <w:num w:numId="7" w16cid:durableId="1555502533">
    <w:abstractNumId w:val="18"/>
  </w:num>
  <w:num w:numId="8" w16cid:durableId="542056240">
    <w:abstractNumId w:val="10"/>
  </w:num>
  <w:num w:numId="9" w16cid:durableId="2038771246">
    <w:abstractNumId w:val="16"/>
  </w:num>
  <w:num w:numId="10" w16cid:durableId="183596978">
    <w:abstractNumId w:val="31"/>
  </w:num>
  <w:num w:numId="11" w16cid:durableId="833179108">
    <w:abstractNumId w:val="9"/>
  </w:num>
  <w:num w:numId="12" w16cid:durableId="338392421">
    <w:abstractNumId w:val="5"/>
  </w:num>
  <w:num w:numId="13" w16cid:durableId="356006804">
    <w:abstractNumId w:val="12"/>
  </w:num>
  <w:num w:numId="14" w16cid:durableId="2054386112">
    <w:abstractNumId w:val="14"/>
  </w:num>
  <w:num w:numId="15" w16cid:durableId="574515796">
    <w:abstractNumId w:val="2"/>
  </w:num>
  <w:num w:numId="16" w16cid:durableId="1131941068">
    <w:abstractNumId w:val="0"/>
  </w:num>
  <w:num w:numId="17" w16cid:durableId="1020742410">
    <w:abstractNumId w:val="1"/>
  </w:num>
  <w:num w:numId="18" w16cid:durableId="695354395">
    <w:abstractNumId w:val="15"/>
  </w:num>
  <w:num w:numId="19" w16cid:durableId="37240552">
    <w:abstractNumId w:val="32"/>
  </w:num>
  <w:num w:numId="20" w16cid:durableId="1118835147">
    <w:abstractNumId w:val="21"/>
  </w:num>
  <w:num w:numId="21" w16cid:durableId="638412763">
    <w:abstractNumId w:val="26"/>
  </w:num>
  <w:num w:numId="22" w16cid:durableId="1618561363">
    <w:abstractNumId w:val="24"/>
  </w:num>
  <w:num w:numId="23" w16cid:durableId="698895565">
    <w:abstractNumId w:val="13"/>
  </w:num>
  <w:num w:numId="24" w16cid:durableId="961420328">
    <w:abstractNumId w:val="3"/>
  </w:num>
  <w:num w:numId="25" w16cid:durableId="1038971982">
    <w:abstractNumId w:val="17"/>
  </w:num>
  <w:num w:numId="26" w16cid:durableId="606812378">
    <w:abstractNumId w:val="25"/>
  </w:num>
  <w:num w:numId="27" w16cid:durableId="1597520204">
    <w:abstractNumId w:val="17"/>
  </w:num>
  <w:num w:numId="28" w16cid:durableId="2134861237">
    <w:abstractNumId w:val="17"/>
  </w:num>
  <w:num w:numId="29" w16cid:durableId="1691225882">
    <w:abstractNumId w:val="17"/>
  </w:num>
  <w:num w:numId="30" w16cid:durableId="190187388">
    <w:abstractNumId w:val="17"/>
  </w:num>
  <w:num w:numId="31" w16cid:durableId="732656862">
    <w:abstractNumId w:val="25"/>
  </w:num>
  <w:num w:numId="32" w16cid:durableId="1179538096">
    <w:abstractNumId w:val="25"/>
  </w:num>
  <w:num w:numId="33" w16cid:durableId="2140875488">
    <w:abstractNumId w:val="25"/>
  </w:num>
  <w:num w:numId="34" w16cid:durableId="1002663154">
    <w:abstractNumId w:val="11"/>
  </w:num>
  <w:num w:numId="35" w16cid:durableId="2108382046">
    <w:abstractNumId w:val="19"/>
  </w:num>
  <w:num w:numId="36" w16cid:durableId="1747259478">
    <w:abstractNumId w:val="22"/>
  </w:num>
  <w:num w:numId="37" w16cid:durableId="597519809">
    <w:abstractNumId w:val="23"/>
  </w:num>
  <w:num w:numId="38" w16cid:durableId="1010256136">
    <w:abstractNumId w:val="27"/>
  </w:num>
  <w:num w:numId="39" w16cid:durableId="624431704">
    <w:abstractNumId w:val="28"/>
  </w:num>
  <w:num w:numId="40" w16cid:durableId="1590886848">
    <w:abstractNumId w:val="20"/>
  </w:num>
  <w:num w:numId="41" w16cid:durableId="158354512">
    <w:abstractNumId w:val="28"/>
  </w:num>
  <w:num w:numId="42" w16cid:durableId="198896994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2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F3"/>
    <w:rsid w:val="00002E73"/>
    <w:rsid w:val="000205E3"/>
    <w:rsid w:val="000269E0"/>
    <w:rsid w:val="00033902"/>
    <w:rsid w:val="000624A3"/>
    <w:rsid w:val="00062C0A"/>
    <w:rsid w:val="00080254"/>
    <w:rsid w:val="00087FC3"/>
    <w:rsid w:val="00097BFF"/>
    <w:rsid w:val="000B7B84"/>
    <w:rsid w:val="000C442A"/>
    <w:rsid w:val="000E6ED8"/>
    <w:rsid w:val="00111EA6"/>
    <w:rsid w:val="001162BF"/>
    <w:rsid w:val="00135D2F"/>
    <w:rsid w:val="0016075E"/>
    <w:rsid w:val="00174C24"/>
    <w:rsid w:val="00182126"/>
    <w:rsid w:val="0018415C"/>
    <w:rsid w:val="00192CB1"/>
    <w:rsid w:val="001956AA"/>
    <w:rsid w:val="001A3ED7"/>
    <w:rsid w:val="001A4048"/>
    <w:rsid w:val="001B0321"/>
    <w:rsid w:val="001B7D43"/>
    <w:rsid w:val="001C0C9B"/>
    <w:rsid w:val="001C1612"/>
    <w:rsid w:val="001D4B3F"/>
    <w:rsid w:val="001D680E"/>
    <w:rsid w:val="001D6D4D"/>
    <w:rsid w:val="001D74D7"/>
    <w:rsid w:val="001E572D"/>
    <w:rsid w:val="00221521"/>
    <w:rsid w:val="00232050"/>
    <w:rsid w:val="002342CF"/>
    <w:rsid w:val="00235772"/>
    <w:rsid w:val="002512D5"/>
    <w:rsid w:val="002615AB"/>
    <w:rsid w:val="0026558A"/>
    <w:rsid w:val="002701E7"/>
    <w:rsid w:val="00272042"/>
    <w:rsid w:val="0027692C"/>
    <w:rsid w:val="00277F87"/>
    <w:rsid w:val="002967A3"/>
    <w:rsid w:val="00296BEA"/>
    <w:rsid w:val="002A63F2"/>
    <w:rsid w:val="002B42FA"/>
    <w:rsid w:val="002C10F9"/>
    <w:rsid w:val="002E7B78"/>
    <w:rsid w:val="00304B38"/>
    <w:rsid w:val="00304F97"/>
    <w:rsid w:val="00316384"/>
    <w:rsid w:val="003168CF"/>
    <w:rsid w:val="00316A0F"/>
    <w:rsid w:val="00326E6C"/>
    <w:rsid w:val="0033795A"/>
    <w:rsid w:val="00343C48"/>
    <w:rsid w:val="00346039"/>
    <w:rsid w:val="003525C0"/>
    <w:rsid w:val="00356EC4"/>
    <w:rsid w:val="0037509F"/>
    <w:rsid w:val="00383843"/>
    <w:rsid w:val="0038599A"/>
    <w:rsid w:val="003A1779"/>
    <w:rsid w:val="003A348E"/>
    <w:rsid w:val="003A37AE"/>
    <w:rsid w:val="003A4265"/>
    <w:rsid w:val="003B07D7"/>
    <w:rsid w:val="003B3EF0"/>
    <w:rsid w:val="003B69FB"/>
    <w:rsid w:val="003C52A3"/>
    <w:rsid w:val="003C7716"/>
    <w:rsid w:val="003C7790"/>
    <w:rsid w:val="003D23CE"/>
    <w:rsid w:val="003E041C"/>
    <w:rsid w:val="003F0C34"/>
    <w:rsid w:val="003F3CC9"/>
    <w:rsid w:val="004236F8"/>
    <w:rsid w:val="0043214B"/>
    <w:rsid w:val="004338D5"/>
    <w:rsid w:val="00436E27"/>
    <w:rsid w:val="00453DD6"/>
    <w:rsid w:val="00457155"/>
    <w:rsid w:val="00463121"/>
    <w:rsid w:val="00477E26"/>
    <w:rsid w:val="004800C0"/>
    <w:rsid w:val="00485605"/>
    <w:rsid w:val="00491DA4"/>
    <w:rsid w:val="00493618"/>
    <w:rsid w:val="004A3076"/>
    <w:rsid w:val="004A63AD"/>
    <w:rsid w:val="004D6DB9"/>
    <w:rsid w:val="004D6F55"/>
    <w:rsid w:val="004E53A2"/>
    <w:rsid w:val="004F54C5"/>
    <w:rsid w:val="004F7B90"/>
    <w:rsid w:val="00505887"/>
    <w:rsid w:val="00507084"/>
    <w:rsid w:val="0051102E"/>
    <w:rsid w:val="00512F11"/>
    <w:rsid w:val="0053131D"/>
    <w:rsid w:val="00536C09"/>
    <w:rsid w:val="005442EB"/>
    <w:rsid w:val="005511F5"/>
    <w:rsid w:val="00556ACE"/>
    <w:rsid w:val="005578DD"/>
    <w:rsid w:val="00560FAC"/>
    <w:rsid w:val="00580113"/>
    <w:rsid w:val="00580BFA"/>
    <w:rsid w:val="00597D83"/>
    <w:rsid w:val="005B27C6"/>
    <w:rsid w:val="005B2A40"/>
    <w:rsid w:val="005B3967"/>
    <w:rsid w:val="005C77D7"/>
    <w:rsid w:val="005D227F"/>
    <w:rsid w:val="005E1CA2"/>
    <w:rsid w:val="005E522C"/>
    <w:rsid w:val="005E7C15"/>
    <w:rsid w:val="005F34D0"/>
    <w:rsid w:val="005F416A"/>
    <w:rsid w:val="00611AA9"/>
    <w:rsid w:val="006278FD"/>
    <w:rsid w:val="00664588"/>
    <w:rsid w:val="00686198"/>
    <w:rsid w:val="006A15D0"/>
    <w:rsid w:val="006A250E"/>
    <w:rsid w:val="006A2FE0"/>
    <w:rsid w:val="006A7FE2"/>
    <w:rsid w:val="006B1175"/>
    <w:rsid w:val="006B19DC"/>
    <w:rsid w:val="006B2A43"/>
    <w:rsid w:val="006B4FE0"/>
    <w:rsid w:val="006C3036"/>
    <w:rsid w:val="006D28FC"/>
    <w:rsid w:val="006D3A22"/>
    <w:rsid w:val="006E2FA7"/>
    <w:rsid w:val="006E44FF"/>
    <w:rsid w:val="006F676D"/>
    <w:rsid w:val="007017C7"/>
    <w:rsid w:val="00713B9D"/>
    <w:rsid w:val="00726402"/>
    <w:rsid w:val="007303A8"/>
    <w:rsid w:val="00734909"/>
    <w:rsid w:val="00755F25"/>
    <w:rsid w:val="0076004A"/>
    <w:rsid w:val="007659EA"/>
    <w:rsid w:val="00776468"/>
    <w:rsid w:val="00791374"/>
    <w:rsid w:val="00797616"/>
    <w:rsid w:val="007B2601"/>
    <w:rsid w:val="007B350F"/>
    <w:rsid w:val="007B3D49"/>
    <w:rsid w:val="007F7A06"/>
    <w:rsid w:val="0080561F"/>
    <w:rsid w:val="00812C56"/>
    <w:rsid w:val="00813B4E"/>
    <w:rsid w:val="00817789"/>
    <w:rsid w:val="00834E4F"/>
    <w:rsid w:val="00844D37"/>
    <w:rsid w:val="0084612F"/>
    <w:rsid w:val="00853D78"/>
    <w:rsid w:val="00862261"/>
    <w:rsid w:val="00871CCA"/>
    <w:rsid w:val="00871E70"/>
    <w:rsid w:val="008733A7"/>
    <w:rsid w:val="008927CA"/>
    <w:rsid w:val="00894EE6"/>
    <w:rsid w:val="00895CB5"/>
    <w:rsid w:val="008B09C8"/>
    <w:rsid w:val="008B113B"/>
    <w:rsid w:val="008B5B05"/>
    <w:rsid w:val="008C584A"/>
    <w:rsid w:val="008C769C"/>
    <w:rsid w:val="008D202C"/>
    <w:rsid w:val="008D35D1"/>
    <w:rsid w:val="008D640F"/>
    <w:rsid w:val="008E477D"/>
    <w:rsid w:val="008F0105"/>
    <w:rsid w:val="008F0DE6"/>
    <w:rsid w:val="009121EE"/>
    <w:rsid w:val="009143BD"/>
    <w:rsid w:val="009249CF"/>
    <w:rsid w:val="009266F5"/>
    <w:rsid w:val="00930F7D"/>
    <w:rsid w:val="00933CB6"/>
    <w:rsid w:val="00950297"/>
    <w:rsid w:val="009532B7"/>
    <w:rsid w:val="00956F35"/>
    <w:rsid w:val="009669CC"/>
    <w:rsid w:val="00972234"/>
    <w:rsid w:val="009974B4"/>
    <w:rsid w:val="009B2E3F"/>
    <w:rsid w:val="009D0786"/>
    <w:rsid w:val="009D3FC8"/>
    <w:rsid w:val="009D4A12"/>
    <w:rsid w:val="009E6638"/>
    <w:rsid w:val="009F1019"/>
    <w:rsid w:val="009F3826"/>
    <w:rsid w:val="009F76AC"/>
    <w:rsid w:val="00A45294"/>
    <w:rsid w:val="00A4597C"/>
    <w:rsid w:val="00A51FBF"/>
    <w:rsid w:val="00A776EB"/>
    <w:rsid w:val="00A872C0"/>
    <w:rsid w:val="00A9743C"/>
    <w:rsid w:val="00AB6D15"/>
    <w:rsid w:val="00AC7F38"/>
    <w:rsid w:val="00AD2616"/>
    <w:rsid w:val="00AD4DA7"/>
    <w:rsid w:val="00AD6B5E"/>
    <w:rsid w:val="00AD7464"/>
    <w:rsid w:val="00AE270B"/>
    <w:rsid w:val="00AE4FB9"/>
    <w:rsid w:val="00AE785A"/>
    <w:rsid w:val="00B0633C"/>
    <w:rsid w:val="00B07D7B"/>
    <w:rsid w:val="00B103A1"/>
    <w:rsid w:val="00B1258B"/>
    <w:rsid w:val="00B15EFF"/>
    <w:rsid w:val="00B24266"/>
    <w:rsid w:val="00B31A52"/>
    <w:rsid w:val="00B36E0B"/>
    <w:rsid w:val="00B72450"/>
    <w:rsid w:val="00B90DE9"/>
    <w:rsid w:val="00B91D64"/>
    <w:rsid w:val="00B97CB7"/>
    <w:rsid w:val="00BA3C1C"/>
    <w:rsid w:val="00BD2205"/>
    <w:rsid w:val="00BE6673"/>
    <w:rsid w:val="00BE6F3E"/>
    <w:rsid w:val="00C01098"/>
    <w:rsid w:val="00C10C20"/>
    <w:rsid w:val="00C11803"/>
    <w:rsid w:val="00C12B87"/>
    <w:rsid w:val="00C14EB0"/>
    <w:rsid w:val="00C159D2"/>
    <w:rsid w:val="00C24EF3"/>
    <w:rsid w:val="00C34180"/>
    <w:rsid w:val="00C4180B"/>
    <w:rsid w:val="00C579A8"/>
    <w:rsid w:val="00C611D2"/>
    <w:rsid w:val="00C61527"/>
    <w:rsid w:val="00C6229A"/>
    <w:rsid w:val="00C675FE"/>
    <w:rsid w:val="00C77220"/>
    <w:rsid w:val="00C7793E"/>
    <w:rsid w:val="00C77BAA"/>
    <w:rsid w:val="00C87FCC"/>
    <w:rsid w:val="00C9290A"/>
    <w:rsid w:val="00CA0AC9"/>
    <w:rsid w:val="00CB764A"/>
    <w:rsid w:val="00CC322A"/>
    <w:rsid w:val="00CD5E6F"/>
    <w:rsid w:val="00CF0076"/>
    <w:rsid w:val="00CF1987"/>
    <w:rsid w:val="00CF3B80"/>
    <w:rsid w:val="00CF5C3E"/>
    <w:rsid w:val="00CF75E1"/>
    <w:rsid w:val="00D10FCD"/>
    <w:rsid w:val="00D122D4"/>
    <w:rsid w:val="00D27D5A"/>
    <w:rsid w:val="00D52F60"/>
    <w:rsid w:val="00D54799"/>
    <w:rsid w:val="00D57129"/>
    <w:rsid w:val="00D74F26"/>
    <w:rsid w:val="00D750B1"/>
    <w:rsid w:val="00D75EA1"/>
    <w:rsid w:val="00D80102"/>
    <w:rsid w:val="00D83E94"/>
    <w:rsid w:val="00D87902"/>
    <w:rsid w:val="00D95460"/>
    <w:rsid w:val="00DA2978"/>
    <w:rsid w:val="00DA6188"/>
    <w:rsid w:val="00DC0146"/>
    <w:rsid w:val="00DC27D2"/>
    <w:rsid w:val="00DC5367"/>
    <w:rsid w:val="00DC5C57"/>
    <w:rsid w:val="00DD1F83"/>
    <w:rsid w:val="00DD65FF"/>
    <w:rsid w:val="00DF1EEA"/>
    <w:rsid w:val="00E03112"/>
    <w:rsid w:val="00E03777"/>
    <w:rsid w:val="00E133F1"/>
    <w:rsid w:val="00E22486"/>
    <w:rsid w:val="00E26F04"/>
    <w:rsid w:val="00E275FA"/>
    <w:rsid w:val="00E30083"/>
    <w:rsid w:val="00E30872"/>
    <w:rsid w:val="00E44DC8"/>
    <w:rsid w:val="00E608AC"/>
    <w:rsid w:val="00E73042"/>
    <w:rsid w:val="00E74CE5"/>
    <w:rsid w:val="00E8436B"/>
    <w:rsid w:val="00E92A1F"/>
    <w:rsid w:val="00EA039D"/>
    <w:rsid w:val="00EA4F74"/>
    <w:rsid w:val="00EB1080"/>
    <w:rsid w:val="00EB305D"/>
    <w:rsid w:val="00ED0A5E"/>
    <w:rsid w:val="00ED7EE7"/>
    <w:rsid w:val="00EE1495"/>
    <w:rsid w:val="00EF106F"/>
    <w:rsid w:val="00EF61D9"/>
    <w:rsid w:val="00F01C66"/>
    <w:rsid w:val="00F13F54"/>
    <w:rsid w:val="00F2555A"/>
    <w:rsid w:val="00F260EB"/>
    <w:rsid w:val="00F3356C"/>
    <w:rsid w:val="00F35B81"/>
    <w:rsid w:val="00F50B12"/>
    <w:rsid w:val="00F513BD"/>
    <w:rsid w:val="00F51596"/>
    <w:rsid w:val="00F54DE1"/>
    <w:rsid w:val="00F5688A"/>
    <w:rsid w:val="00F57907"/>
    <w:rsid w:val="00F657BE"/>
    <w:rsid w:val="00F75A83"/>
    <w:rsid w:val="00F76F60"/>
    <w:rsid w:val="00F773E1"/>
    <w:rsid w:val="00FA3740"/>
    <w:rsid w:val="00FA4F79"/>
    <w:rsid w:val="00FB2295"/>
    <w:rsid w:val="00FB3D09"/>
    <w:rsid w:val="00FB54EA"/>
    <w:rsid w:val="00FB68B1"/>
    <w:rsid w:val="00FC0814"/>
    <w:rsid w:val="00FC1B40"/>
    <w:rsid w:val="00FC4C09"/>
    <w:rsid w:val="00FD275E"/>
    <w:rsid w:val="00FD67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7456"/>
  <w15:chartTrackingRefBased/>
  <w15:docId w15:val="{F670CB8F-94CB-4077-8C72-14567268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AT"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6ACE"/>
    <w:pPr>
      <w:spacing w:line="300" w:lineRule="atLeast"/>
    </w:pPr>
  </w:style>
  <w:style w:type="paragraph" w:styleId="berschrift1">
    <w:name w:val="heading 1"/>
    <w:basedOn w:val="Standard"/>
    <w:next w:val="Standard"/>
    <w:link w:val="berschrift1Zchn"/>
    <w:uiPriority w:val="9"/>
    <w:qFormat/>
    <w:rsid w:val="00556ACE"/>
    <w:pPr>
      <w:keepNext/>
      <w:keepLines/>
      <w:numPr>
        <w:numId w:val="30"/>
      </w:numPr>
      <w:spacing w:after="300"/>
      <w:contextualSpacing/>
      <w:outlineLvl w:val="0"/>
    </w:pPr>
    <w:rPr>
      <w:rFonts w:eastAsiaTheme="majorEastAsia" w:cstheme="majorBidi"/>
      <w:b/>
      <w:sz w:val="24"/>
      <w:szCs w:val="32"/>
    </w:rPr>
  </w:style>
  <w:style w:type="paragraph" w:styleId="berschrift2">
    <w:name w:val="heading 2"/>
    <w:basedOn w:val="Standard"/>
    <w:next w:val="Standard"/>
    <w:link w:val="berschrift2Zchn"/>
    <w:uiPriority w:val="9"/>
    <w:qFormat/>
    <w:rsid w:val="00556ACE"/>
    <w:pPr>
      <w:keepNext/>
      <w:keepLines/>
      <w:numPr>
        <w:ilvl w:val="1"/>
        <w:numId w:val="30"/>
      </w:numPr>
      <w:spacing w:after="300"/>
      <w:contextualSpacing/>
      <w:outlineLvl w:val="1"/>
    </w:pPr>
    <w:rPr>
      <w:rFonts w:eastAsiaTheme="majorEastAsia" w:cs="Arial"/>
      <w:b/>
    </w:rPr>
  </w:style>
  <w:style w:type="paragraph" w:styleId="berschrift3">
    <w:name w:val="heading 3"/>
    <w:basedOn w:val="Standard"/>
    <w:next w:val="Standard"/>
    <w:link w:val="berschrift3Zchn"/>
    <w:uiPriority w:val="9"/>
    <w:qFormat/>
    <w:rsid w:val="00556ACE"/>
    <w:pPr>
      <w:keepNext/>
      <w:keepLines/>
      <w:numPr>
        <w:ilvl w:val="2"/>
        <w:numId w:val="30"/>
      </w:numPr>
      <w:spacing w:after="300"/>
      <w:contextualSpacing/>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56ACE"/>
    <w:pPr>
      <w:keepNext/>
      <w:keepLines/>
      <w:numPr>
        <w:ilvl w:val="3"/>
        <w:numId w:val="25"/>
      </w:numPr>
      <w:spacing w:after="300"/>
      <w:contextualSpacing/>
      <w:outlineLvl w:val="3"/>
    </w:pPr>
    <w:rPr>
      <w:rFonts w:asciiTheme="majorHAnsi" w:eastAsiaTheme="majorEastAsia" w:hAnsiTheme="majorHAnsi" w:cstheme="majorBidi"/>
      <w:b/>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ullets">
    <w:name w:val="Bullets"/>
    <w:uiPriority w:val="99"/>
    <w:rsid w:val="005B2A40"/>
    <w:pPr>
      <w:numPr>
        <w:numId w:val="1"/>
      </w:numPr>
    </w:pPr>
  </w:style>
  <w:style w:type="paragraph" w:styleId="Listenabsatz">
    <w:name w:val="List Paragraph"/>
    <w:basedOn w:val="Standard"/>
    <w:link w:val="ListenabsatzZchn"/>
    <w:uiPriority w:val="34"/>
    <w:rsid w:val="00EB1080"/>
    <w:pPr>
      <w:ind w:left="720"/>
      <w:contextualSpacing/>
    </w:pPr>
  </w:style>
  <w:style w:type="paragraph" w:styleId="Fuzeile">
    <w:name w:val="footer"/>
    <w:basedOn w:val="Standard"/>
    <w:link w:val="FuzeileZchn"/>
    <w:rsid w:val="003C7716"/>
    <w:pPr>
      <w:tabs>
        <w:tab w:val="center" w:pos="4536"/>
        <w:tab w:val="right" w:pos="9072"/>
      </w:tabs>
      <w:spacing w:line="240" w:lineRule="auto"/>
    </w:pPr>
    <w:rPr>
      <w:rFonts w:eastAsia="Times New Roman" w:cs="Times New Roman"/>
      <w:szCs w:val="24"/>
      <w:lang w:val="de-DE" w:eastAsia="de-DE"/>
    </w:rPr>
  </w:style>
  <w:style w:type="character" w:customStyle="1" w:styleId="FuzeileZchn">
    <w:name w:val="Fußzeile Zchn"/>
    <w:basedOn w:val="Absatz-Standardschriftart"/>
    <w:link w:val="Fuzeile"/>
    <w:rsid w:val="003C7716"/>
    <w:rPr>
      <w:rFonts w:eastAsia="Times New Roman" w:cs="Times New Roman"/>
      <w:szCs w:val="24"/>
      <w:lang w:val="de-DE" w:eastAsia="de-DE"/>
    </w:rPr>
  </w:style>
  <w:style w:type="character" w:customStyle="1" w:styleId="berschrift1Zchn">
    <w:name w:val="Überschrift 1 Zchn"/>
    <w:basedOn w:val="Absatz-Standardschriftart"/>
    <w:link w:val="berschrift1"/>
    <w:uiPriority w:val="9"/>
    <w:rsid w:val="00556ACE"/>
    <w:rPr>
      <w:rFonts w:eastAsiaTheme="majorEastAsia" w:cstheme="majorBidi"/>
      <w:b/>
      <w:sz w:val="24"/>
      <w:szCs w:val="32"/>
    </w:rPr>
  </w:style>
  <w:style w:type="character" w:customStyle="1" w:styleId="berschrift2Zchn">
    <w:name w:val="Überschrift 2 Zchn"/>
    <w:basedOn w:val="Absatz-Standardschriftart"/>
    <w:link w:val="berschrift2"/>
    <w:uiPriority w:val="9"/>
    <w:rsid w:val="00556ACE"/>
    <w:rPr>
      <w:rFonts w:eastAsiaTheme="majorEastAsia" w:cs="Arial"/>
      <w:b/>
    </w:rPr>
  </w:style>
  <w:style w:type="character" w:customStyle="1" w:styleId="berschrift3Zchn">
    <w:name w:val="Überschrift 3 Zchn"/>
    <w:basedOn w:val="Absatz-Standardschriftart"/>
    <w:link w:val="berschrift3"/>
    <w:uiPriority w:val="9"/>
    <w:rsid w:val="00556ACE"/>
    <w:rPr>
      <w:rFonts w:eastAsiaTheme="majorEastAsia" w:cstheme="majorBidi"/>
      <w:b/>
      <w:szCs w:val="24"/>
    </w:rPr>
  </w:style>
  <w:style w:type="paragraph" w:styleId="Inhaltsverzeichnisberschrift">
    <w:name w:val="TOC Heading"/>
    <w:basedOn w:val="berschrift1"/>
    <w:next w:val="Standard"/>
    <w:uiPriority w:val="39"/>
    <w:unhideWhenUsed/>
    <w:rsid w:val="001D74D7"/>
    <w:pPr>
      <w:numPr>
        <w:numId w:val="0"/>
      </w:numPr>
      <w:outlineLvl w:val="9"/>
    </w:pPr>
    <w:rPr>
      <w:lang w:val="de-DE" w:eastAsia="de-DE"/>
    </w:rPr>
  </w:style>
  <w:style w:type="paragraph" w:styleId="Verzeichnis1">
    <w:name w:val="toc 1"/>
    <w:basedOn w:val="Standard"/>
    <w:next w:val="Standard"/>
    <w:autoRedefine/>
    <w:uiPriority w:val="39"/>
    <w:unhideWhenUsed/>
    <w:rsid w:val="008B5B05"/>
    <w:pPr>
      <w:tabs>
        <w:tab w:val="right" w:leader="dot" w:pos="9060"/>
      </w:tabs>
      <w:spacing w:before="120" w:after="60"/>
      <w:ind w:left="794" w:right="284" w:hanging="794"/>
    </w:pPr>
  </w:style>
  <w:style w:type="paragraph" w:styleId="Verzeichnis2">
    <w:name w:val="toc 2"/>
    <w:basedOn w:val="Standard"/>
    <w:next w:val="Standard"/>
    <w:autoRedefine/>
    <w:uiPriority w:val="39"/>
    <w:unhideWhenUsed/>
    <w:rsid w:val="008B5B05"/>
    <w:pPr>
      <w:tabs>
        <w:tab w:val="right" w:leader="dot" w:pos="9060"/>
      </w:tabs>
      <w:spacing w:before="40"/>
      <w:ind w:left="794" w:right="284" w:hanging="794"/>
    </w:pPr>
  </w:style>
  <w:style w:type="paragraph" w:styleId="Verzeichnis3">
    <w:name w:val="toc 3"/>
    <w:basedOn w:val="Standard"/>
    <w:next w:val="Standard"/>
    <w:autoRedefine/>
    <w:uiPriority w:val="39"/>
    <w:unhideWhenUsed/>
    <w:rsid w:val="008B5B05"/>
    <w:pPr>
      <w:tabs>
        <w:tab w:val="left" w:pos="851"/>
        <w:tab w:val="right" w:leader="dot" w:pos="9060"/>
      </w:tabs>
      <w:ind w:left="794" w:right="284" w:hanging="794"/>
    </w:pPr>
  </w:style>
  <w:style w:type="character" w:styleId="Hyperlink">
    <w:name w:val="Hyperlink"/>
    <w:basedOn w:val="Absatz-Standardschriftart"/>
    <w:uiPriority w:val="99"/>
    <w:unhideWhenUsed/>
    <w:rsid w:val="006D3A22"/>
    <w:rPr>
      <w:color w:val="0000FF"/>
      <w:u w:val="single"/>
    </w:rPr>
  </w:style>
  <w:style w:type="paragraph" w:styleId="Sprechblasentext">
    <w:name w:val="Balloon Text"/>
    <w:basedOn w:val="Standard"/>
    <w:link w:val="SprechblasentextZchn"/>
    <w:uiPriority w:val="99"/>
    <w:semiHidden/>
    <w:unhideWhenUsed/>
    <w:rsid w:val="0081778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789"/>
    <w:rPr>
      <w:rFonts w:ascii="Segoe UI" w:hAnsi="Segoe UI" w:cs="Segoe UI"/>
      <w:sz w:val="18"/>
      <w:szCs w:val="18"/>
    </w:rPr>
  </w:style>
  <w:style w:type="paragraph" w:customStyle="1" w:styleId="Tabelle">
    <w:name w:val="Tabelle"/>
    <w:basedOn w:val="Standard"/>
    <w:link w:val="TabelleZchn"/>
    <w:rsid w:val="00002E73"/>
    <w:pPr>
      <w:spacing w:line="300" w:lineRule="exact"/>
    </w:pPr>
  </w:style>
  <w:style w:type="table" w:styleId="TabellemithellemGitternetz">
    <w:name w:val="Grid Table Light"/>
    <w:basedOn w:val="NormaleTabelle"/>
    <w:uiPriority w:val="40"/>
    <w:rsid w:val="0043214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eZchn">
    <w:name w:val="Tabelle Zchn"/>
    <w:basedOn w:val="Absatz-Standardschriftart"/>
    <w:link w:val="Tabelle"/>
    <w:rsid w:val="00002E73"/>
  </w:style>
  <w:style w:type="character" w:styleId="Kommentarzeichen">
    <w:name w:val="annotation reference"/>
    <w:basedOn w:val="Absatz-Standardschriftart"/>
    <w:uiPriority w:val="99"/>
    <w:semiHidden/>
    <w:unhideWhenUsed/>
    <w:rsid w:val="00463121"/>
    <w:rPr>
      <w:sz w:val="16"/>
      <w:szCs w:val="16"/>
    </w:rPr>
  </w:style>
  <w:style w:type="paragraph" w:styleId="Kommentartext">
    <w:name w:val="annotation text"/>
    <w:basedOn w:val="Standard"/>
    <w:link w:val="KommentartextZchn"/>
    <w:uiPriority w:val="99"/>
    <w:semiHidden/>
    <w:unhideWhenUsed/>
    <w:rsid w:val="00463121"/>
    <w:pPr>
      <w:spacing w:line="240" w:lineRule="auto"/>
    </w:pPr>
  </w:style>
  <w:style w:type="character" w:customStyle="1" w:styleId="KommentartextZchn">
    <w:name w:val="Kommentartext Zchn"/>
    <w:basedOn w:val="Absatz-Standardschriftart"/>
    <w:link w:val="Kommentartext"/>
    <w:uiPriority w:val="99"/>
    <w:semiHidden/>
    <w:rsid w:val="00463121"/>
    <w:rPr>
      <w:szCs w:val="20"/>
    </w:rPr>
  </w:style>
  <w:style w:type="paragraph" w:styleId="Kommentarthema">
    <w:name w:val="annotation subject"/>
    <w:basedOn w:val="Kommentartext"/>
    <w:next w:val="Kommentartext"/>
    <w:link w:val="KommentarthemaZchn"/>
    <w:uiPriority w:val="99"/>
    <w:semiHidden/>
    <w:unhideWhenUsed/>
    <w:rsid w:val="00463121"/>
    <w:rPr>
      <w:b/>
      <w:bCs/>
    </w:rPr>
  </w:style>
  <w:style w:type="character" w:customStyle="1" w:styleId="KommentarthemaZchn">
    <w:name w:val="Kommentarthema Zchn"/>
    <w:basedOn w:val="KommentartextZchn"/>
    <w:link w:val="Kommentarthema"/>
    <w:uiPriority w:val="99"/>
    <w:semiHidden/>
    <w:rsid w:val="00463121"/>
    <w:rPr>
      <w:b/>
      <w:bCs/>
      <w:szCs w:val="20"/>
    </w:rPr>
  </w:style>
  <w:style w:type="paragraph" w:styleId="KeinLeerraum">
    <w:name w:val="No Spacing"/>
    <w:basedOn w:val="Standard"/>
    <w:link w:val="KeinLeerraumZchn"/>
    <w:uiPriority w:val="1"/>
    <w:rsid w:val="00956F35"/>
  </w:style>
  <w:style w:type="character" w:customStyle="1" w:styleId="berschrift4Zchn">
    <w:name w:val="Überschrift 4 Zchn"/>
    <w:basedOn w:val="Absatz-Standardschriftart"/>
    <w:link w:val="berschrift4"/>
    <w:uiPriority w:val="9"/>
    <w:rsid w:val="00556ACE"/>
    <w:rPr>
      <w:rFonts w:asciiTheme="majorHAnsi" w:eastAsiaTheme="majorEastAsia" w:hAnsiTheme="majorHAnsi" w:cstheme="majorBidi"/>
      <w:b/>
      <w:iCs/>
      <w:color w:val="000000"/>
    </w:rPr>
  </w:style>
  <w:style w:type="numbering" w:customStyle="1" w:styleId="berschriften1-4">
    <w:name w:val="Überschriften 1-4"/>
    <w:uiPriority w:val="99"/>
    <w:rsid w:val="00505887"/>
    <w:pPr>
      <w:numPr>
        <w:numId w:val="2"/>
      </w:numPr>
    </w:pPr>
  </w:style>
  <w:style w:type="paragraph" w:styleId="Kopfzeile">
    <w:name w:val="header"/>
    <w:basedOn w:val="Standard"/>
    <w:link w:val="KopfzeileZchn"/>
    <w:unhideWhenUsed/>
    <w:rsid w:val="00956F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56F35"/>
  </w:style>
  <w:style w:type="character" w:styleId="Buchtitel">
    <w:name w:val="Book Title"/>
    <w:basedOn w:val="Absatz-Standardschriftart"/>
    <w:uiPriority w:val="33"/>
    <w:rsid w:val="00956F35"/>
    <w:rPr>
      <w:b/>
      <w:bCs/>
      <w:i/>
      <w:iCs/>
      <w:spacing w:val="5"/>
    </w:rPr>
  </w:style>
  <w:style w:type="paragraph" w:customStyle="1" w:styleId="Briefkopf">
    <w:name w:val="Briefkopf"/>
    <w:basedOn w:val="Standard"/>
    <w:link w:val="BriefkopfZchn"/>
    <w:uiPriority w:val="11"/>
    <w:qFormat/>
    <w:rsid w:val="00556ACE"/>
  </w:style>
  <w:style w:type="character" w:styleId="Seitenzahl">
    <w:name w:val="page number"/>
    <w:basedOn w:val="Absatz-Standardschriftart"/>
    <w:semiHidden/>
    <w:rsid w:val="00326E6C"/>
  </w:style>
  <w:style w:type="character" w:customStyle="1" w:styleId="KeinLeerraumZchn">
    <w:name w:val="Kein Leerraum Zchn"/>
    <w:basedOn w:val="Absatz-Standardschriftart"/>
    <w:link w:val="KeinLeerraum"/>
    <w:uiPriority w:val="1"/>
    <w:rsid w:val="00812C56"/>
  </w:style>
  <w:style w:type="character" w:customStyle="1" w:styleId="BriefkopfZchn">
    <w:name w:val="Briefkopf Zchn"/>
    <w:basedOn w:val="KeinLeerraumZchn"/>
    <w:link w:val="Briefkopf"/>
    <w:uiPriority w:val="11"/>
    <w:rsid w:val="00556ACE"/>
  </w:style>
  <w:style w:type="paragraph" w:styleId="IntensivesZitat">
    <w:name w:val="Intense Quote"/>
    <w:basedOn w:val="Standard"/>
    <w:next w:val="Standard"/>
    <w:link w:val="IntensivesZitatZchn"/>
    <w:uiPriority w:val="30"/>
    <w:rsid w:val="00AE785A"/>
    <w:pPr>
      <w:pBdr>
        <w:top w:val="single" w:sz="4" w:space="10" w:color="5A6E89" w:themeColor="accent1"/>
        <w:bottom w:val="single" w:sz="4" w:space="10" w:color="5A6E89" w:themeColor="accent1"/>
      </w:pBdr>
      <w:spacing w:before="360" w:after="360"/>
      <w:ind w:left="864" w:right="864"/>
      <w:jc w:val="center"/>
    </w:pPr>
    <w:rPr>
      <w:i/>
      <w:iCs/>
      <w:color w:val="5A6E89" w:themeColor="accent1"/>
    </w:rPr>
  </w:style>
  <w:style w:type="character" w:customStyle="1" w:styleId="IntensivesZitatZchn">
    <w:name w:val="Intensives Zitat Zchn"/>
    <w:basedOn w:val="Absatz-Standardschriftart"/>
    <w:link w:val="IntensivesZitat"/>
    <w:uiPriority w:val="30"/>
    <w:rsid w:val="00AE785A"/>
    <w:rPr>
      <w:i/>
      <w:iCs/>
      <w:color w:val="5A6E89" w:themeColor="accent1"/>
    </w:rPr>
  </w:style>
  <w:style w:type="character" w:customStyle="1" w:styleId="ListenabsatzZchn">
    <w:name w:val="Listenabsatz Zchn"/>
    <w:basedOn w:val="Absatz-Standardschriftart"/>
    <w:link w:val="Listenabsatz"/>
    <w:uiPriority w:val="34"/>
    <w:rsid w:val="00A776EB"/>
  </w:style>
  <w:style w:type="paragraph" w:styleId="Aufzhlungszeichen">
    <w:name w:val="List Bullet"/>
    <w:basedOn w:val="Standard"/>
    <w:uiPriority w:val="99"/>
    <w:qFormat/>
    <w:rsid w:val="00E8436B"/>
    <w:pPr>
      <w:numPr>
        <w:numId w:val="35"/>
      </w:numPr>
      <w:contextualSpacing/>
    </w:pPr>
  </w:style>
  <w:style w:type="paragraph" w:styleId="Aufzhlungszeichen2">
    <w:name w:val="List Bullet 2"/>
    <w:basedOn w:val="Standard"/>
    <w:uiPriority w:val="99"/>
    <w:qFormat/>
    <w:rsid w:val="002342CF"/>
    <w:pPr>
      <w:numPr>
        <w:numId w:val="38"/>
      </w:numPr>
      <w:ind w:left="714" w:hanging="357"/>
      <w:contextualSpacing/>
    </w:pPr>
  </w:style>
  <w:style w:type="paragraph" w:styleId="Aufzhlungszeichen3">
    <w:name w:val="List Bullet 3"/>
    <w:basedOn w:val="Standard"/>
    <w:uiPriority w:val="99"/>
    <w:qFormat/>
    <w:rsid w:val="009E6638"/>
    <w:pPr>
      <w:numPr>
        <w:numId w:val="39"/>
      </w:numPr>
      <w:contextualSpacing/>
    </w:pPr>
  </w:style>
  <w:style w:type="character" w:styleId="Platzhaltertext">
    <w:name w:val="Placeholder Text"/>
    <w:basedOn w:val="Absatz-Standardschriftart"/>
    <w:uiPriority w:val="99"/>
    <w:semiHidden/>
    <w:rsid w:val="00E73042"/>
    <w:rPr>
      <w:color w:val="808080"/>
    </w:rPr>
  </w:style>
  <w:style w:type="paragraph" w:customStyle="1" w:styleId="Speicherzeile">
    <w:name w:val="Speicherzeile"/>
    <w:basedOn w:val="Standard"/>
    <w:link w:val="SpeicherzeileZchn"/>
    <w:rsid w:val="006A250E"/>
    <w:pPr>
      <w:jc w:val="right"/>
    </w:pPr>
    <w:rPr>
      <w:sz w:val="16"/>
    </w:rPr>
  </w:style>
  <w:style w:type="paragraph" w:customStyle="1" w:styleId="Datumszeile">
    <w:name w:val="Datumszeile"/>
    <w:basedOn w:val="Standard"/>
    <w:link w:val="DatumszeileZchn"/>
    <w:rsid w:val="006A250E"/>
    <w:pPr>
      <w:spacing w:line="300" w:lineRule="exact"/>
      <w:jc w:val="right"/>
    </w:pPr>
    <w:rPr>
      <w:rFonts w:cs="Arial"/>
    </w:rPr>
  </w:style>
  <w:style w:type="character" w:customStyle="1" w:styleId="SpeicherzeileZchn">
    <w:name w:val="Speicherzeile Zchn"/>
    <w:basedOn w:val="Absatz-Standardschriftart"/>
    <w:link w:val="Speicherzeile"/>
    <w:rsid w:val="006A250E"/>
    <w:rPr>
      <w:sz w:val="16"/>
    </w:rPr>
  </w:style>
  <w:style w:type="paragraph" w:customStyle="1" w:styleId="Betreffszeile">
    <w:name w:val="Betreffszeile"/>
    <w:basedOn w:val="Standard"/>
    <w:link w:val="BetreffszeileZchn"/>
    <w:rsid w:val="006A250E"/>
    <w:pPr>
      <w:spacing w:line="300" w:lineRule="exact"/>
    </w:pPr>
    <w:rPr>
      <w:rFonts w:cs="Arial"/>
      <w:b/>
      <w:bCs/>
    </w:rPr>
  </w:style>
  <w:style w:type="character" w:customStyle="1" w:styleId="DatumszeileZchn">
    <w:name w:val="Datumszeile Zchn"/>
    <w:basedOn w:val="Absatz-Standardschriftart"/>
    <w:link w:val="Datumszeile"/>
    <w:rsid w:val="006A250E"/>
    <w:rPr>
      <w:rFonts w:cs="Arial"/>
    </w:rPr>
  </w:style>
  <w:style w:type="character" w:customStyle="1" w:styleId="BetreffszeileZchn">
    <w:name w:val="Betreffszeile Zchn"/>
    <w:basedOn w:val="Absatz-Standardschriftart"/>
    <w:link w:val="Betreffszeile"/>
    <w:rsid w:val="006A250E"/>
    <w:rPr>
      <w:rFonts w:cs="Arial"/>
      <w:b/>
      <w:bCs/>
    </w:rPr>
  </w:style>
  <w:style w:type="paragraph" w:customStyle="1" w:styleId="Betreff">
    <w:name w:val="Betreff"/>
    <w:basedOn w:val="KeinLeerraum"/>
    <w:link w:val="BetreffZchn"/>
    <w:qFormat/>
    <w:rsid w:val="00755F25"/>
    <w:rPr>
      <w:b/>
      <w:color w:val="366857" w:themeColor="accent2" w:themeShade="80"/>
      <w:sz w:val="24"/>
    </w:rPr>
  </w:style>
  <w:style w:type="character" w:customStyle="1" w:styleId="BetreffZchn">
    <w:name w:val="Betreff Zchn"/>
    <w:basedOn w:val="KeinLeerraumZchn"/>
    <w:link w:val="Betreff"/>
    <w:rsid w:val="00755F25"/>
    <w:rPr>
      <w:b/>
      <w:color w:val="366857" w:themeColor="accent2" w:themeShade="80"/>
      <w:sz w:val="24"/>
    </w:rPr>
  </w:style>
  <w:style w:type="paragraph" w:styleId="Verzeichnis4">
    <w:name w:val="toc 4"/>
    <w:basedOn w:val="Standard"/>
    <w:next w:val="Standard"/>
    <w:autoRedefine/>
    <w:uiPriority w:val="39"/>
    <w:unhideWhenUsed/>
    <w:rsid w:val="008B5B05"/>
    <w:pPr>
      <w:tabs>
        <w:tab w:val="right" w:leader="dot" w:pos="9060"/>
      </w:tabs>
      <w:ind w:left="794" w:right="284" w:hanging="794"/>
    </w:pPr>
  </w:style>
  <w:style w:type="paragraph" w:styleId="Verzeichnis5">
    <w:name w:val="toc 5"/>
    <w:basedOn w:val="Standard"/>
    <w:next w:val="Standard"/>
    <w:autoRedefine/>
    <w:uiPriority w:val="39"/>
    <w:unhideWhenUsed/>
    <w:rsid w:val="008B5B05"/>
    <w:pPr>
      <w:spacing w:after="100" w:line="259" w:lineRule="auto"/>
      <w:ind w:left="880"/>
    </w:pPr>
    <w:rPr>
      <w:rFonts w:asciiTheme="minorHAnsi" w:eastAsiaTheme="minorEastAsia" w:hAnsiTheme="minorHAnsi"/>
      <w:sz w:val="22"/>
      <w:szCs w:val="22"/>
      <w:lang w:val="de-DE" w:eastAsia="de-DE"/>
    </w:rPr>
  </w:style>
  <w:style w:type="paragraph" w:styleId="Verzeichnis6">
    <w:name w:val="toc 6"/>
    <w:basedOn w:val="Standard"/>
    <w:next w:val="Standard"/>
    <w:autoRedefine/>
    <w:uiPriority w:val="39"/>
    <w:unhideWhenUsed/>
    <w:rsid w:val="008B5B05"/>
    <w:pPr>
      <w:spacing w:after="100" w:line="259" w:lineRule="auto"/>
      <w:ind w:left="1100"/>
    </w:pPr>
    <w:rPr>
      <w:rFonts w:asciiTheme="minorHAnsi" w:eastAsiaTheme="minorEastAsia" w:hAnsiTheme="minorHAnsi"/>
      <w:sz w:val="22"/>
      <w:szCs w:val="22"/>
      <w:lang w:val="de-DE" w:eastAsia="de-DE"/>
    </w:rPr>
  </w:style>
  <w:style w:type="paragraph" w:styleId="Verzeichnis7">
    <w:name w:val="toc 7"/>
    <w:basedOn w:val="Standard"/>
    <w:next w:val="Standard"/>
    <w:autoRedefine/>
    <w:uiPriority w:val="39"/>
    <w:unhideWhenUsed/>
    <w:rsid w:val="008B5B05"/>
    <w:pPr>
      <w:spacing w:after="100" w:line="259" w:lineRule="auto"/>
      <w:ind w:left="1320"/>
    </w:pPr>
    <w:rPr>
      <w:rFonts w:asciiTheme="minorHAnsi" w:eastAsiaTheme="minorEastAsia" w:hAnsiTheme="minorHAnsi"/>
      <w:sz w:val="22"/>
      <w:szCs w:val="22"/>
      <w:lang w:val="de-DE" w:eastAsia="de-DE"/>
    </w:rPr>
  </w:style>
  <w:style w:type="paragraph" w:styleId="Verzeichnis8">
    <w:name w:val="toc 8"/>
    <w:basedOn w:val="Standard"/>
    <w:next w:val="Standard"/>
    <w:autoRedefine/>
    <w:uiPriority w:val="39"/>
    <w:unhideWhenUsed/>
    <w:rsid w:val="008B5B05"/>
    <w:pPr>
      <w:spacing w:after="100" w:line="259" w:lineRule="auto"/>
      <w:ind w:left="1540"/>
    </w:pPr>
    <w:rPr>
      <w:rFonts w:asciiTheme="minorHAnsi" w:eastAsiaTheme="minorEastAsia" w:hAnsiTheme="minorHAnsi"/>
      <w:sz w:val="22"/>
      <w:szCs w:val="22"/>
      <w:lang w:val="de-DE" w:eastAsia="de-DE"/>
    </w:rPr>
  </w:style>
  <w:style w:type="paragraph" w:styleId="Verzeichnis9">
    <w:name w:val="toc 9"/>
    <w:basedOn w:val="Standard"/>
    <w:next w:val="Standard"/>
    <w:autoRedefine/>
    <w:uiPriority w:val="39"/>
    <w:unhideWhenUsed/>
    <w:rsid w:val="008B5B05"/>
    <w:pPr>
      <w:spacing w:after="100" w:line="259" w:lineRule="auto"/>
      <w:ind w:left="1760"/>
    </w:pPr>
    <w:rPr>
      <w:rFonts w:asciiTheme="minorHAnsi" w:eastAsiaTheme="minorEastAsia" w:hAnsiTheme="minorHAnsi"/>
      <w:sz w:val="22"/>
      <w:szCs w:val="22"/>
      <w:lang w:val="de-DE" w:eastAsia="de-DE"/>
    </w:rPr>
  </w:style>
  <w:style w:type="character" w:styleId="NichtaufgelsteErwhnung">
    <w:name w:val="Unresolved Mention"/>
    <w:basedOn w:val="Absatz-Standardschriftart"/>
    <w:uiPriority w:val="99"/>
    <w:semiHidden/>
    <w:unhideWhenUsed/>
    <w:rsid w:val="00536C09"/>
    <w:rPr>
      <w:color w:val="605E5C"/>
      <w:shd w:val="clear" w:color="auto" w:fill="E1DFDD"/>
    </w:rPr>
  </w:style>
  <w:style w:type="character" w:styleId="BesuchterLink">
    <w:name w:val="FollowedHyperlink"/>
    <w:basedOn w:val="Absatz-Standardschriftart"/>
    <w:uiPriority w:val="99"/>
    <w:semiHidden/>
    <w:unhideWhenUsed/>
    <w:rsid w:val="009B2E3F"/>
    <w:rPr>
      <w:color w:val="5858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970">
      <w:bodyDiv w:val="1"/>
      <w:marLeft w:val="0"/>
      <w:marRight w:val="0"/>
      <w:marTop w:val="0"/>
      <w:marBottom w:val="0"/>
      <w:divBdr>
        <w:top w:val="none" w:sz="0" w:space="0" w:color="auto"/>
        <w:left w:val="none" w:sz="0" w:space="0" w:color="auto"/>
        <w:bottom w:val="none" w:sz="0" w:space="0" w:color="auto"/>
        <w:right w:val="none" w:sz="0" w:space="0" w:color="auto"/>
      </w:divBdr>
    </w:div>
    <w:div w:id="85804855">
      <w:bodyDiv w:val="1"/>
      <w:marLeft w:val="0"/>
      <w:marRight w:val="0"/>
      <w:marTop w:val="0"/>
      <w:marBottom w:val="0"/>
      <w:divBdr>
        <w:top w:val="none" w:sz="0" w:space="0" w:color="auto"/>
        <w:left w:val="none" w:sz="0" w:space="0" w:color="auto"/>
        <w:bottom w:val="none" w:sz="0" w:space="0" w:color="auto"/>
        <w:right w:val="none" w:sz="0" w:space="0" w:color="auto"/>
      </w:divBdr>
    </w:div>
    <w:div w:id="201746202">
      <w:bodyDiv w:val="1"/>
      <w:marLeft w:val="0"/>
      <w:marRight w:val="0"/>
      <w:marTop w:val="0"/>
      <w:marBottom w:val="0"/>
      <w:divBdr>
        <w:top w:val="none" w:sz="0" w:space="0" w:color="auto"/>
        <w:left w:val="none" w:sz="0" w:space="0" w:color="auto"/>
        <w:bottom w:val="none" w:sz="0" w:space="0" w:color="auto"/>
        <w:right w:val="none" w:sz="0" w:space="0" w:color="auto"/>
      </w:divBdr>
    </w:div>
    <w:div w:id="231739750">
      <w:bodyDiv w:val="1"/>
      <w:marLeft w:val="0"/>
      <w:marRight w:val="0"/>
      <w:marTop w:val="0"/>
      <w:marBottom w:val="0"/>
      <w:divBdr>
        <w:top w:val="none" w:sz="0" w:space="0" w:color="auto"/>
        <w:left w:val="none" w:sz="0" w:space="0" w:color="auto"/>
        <w:bottom w:val="none" w:sz="0" w:space="0" w:color="auto"/>
        <w:right w:val="none" w:sz="0" w:space="0" w:color="auto"/>
      </w:divBdr>
    </w:div>
    <w:div w:id="405496106">
      <w:bodyDiv w:val="1"/>
      <w:marLeft w:val="0"/>
      <w:marRight w:val="0"/>
      <w:marTop w:val="0"/>
      <w:marBottom w:val="0"/>
      <w:divBdr>
        <w:top w:val="none" w:sz="0" w:space="0" w:color="auto"/>
        <w:left w:val="none" w:sz="0" w:space="0" w:color="auto"/>
        <w:bottom w:val="none" w:sz="0" w:space="0" w:color="auto"/>
        <w:right w:val="none" w:sz="0" w:space="0" w:color="auto"/>
      </w:divBdr>
    </w:div>
    <w:div w:id="497382266">
      <w:bodyDiv w:val="1"/>
      <w:marLeft w:val="0"/>
      <w:marRight w:val="0"/>
      <w:marTop w:val="0"/>
      <w:marBottom w:val="0"/>
      <w:divBdr>
        <w:top w:val="none" w:sz="0" w:space="0" w:color="auto"/>
        <w:left w:val="none" w:sz="0" w:space="0" w:color="auto"/>
        <w:bottom w:val="none" w:sz="0" w:space="0" w:color="auto"/>
        <w:right w:val="none" w:sz="0" w:space="0" w:color="auto"/>
      </w:divBdr>
    </w:div>
    <w:div w:id="505093716">
      <w:bodyDiv w:val="1"/>
      <w:marLeft w:val="0"/>
      <w:marRight w:val="0"/>
      <w:marTop w:val="0"/>
      <w:marBottom w:val="0"/>
      <w:divBdr>
        <w:top w:val="none" w:sz="0" w:space="0" w:color="auto"/>
        <w:left w:val="none" w:sz="0" w:space="0" w:color="auto"/>
        <w:bottom w:val="none" w:sz="0" w:space="0" w:color="auto"/>
        <w:right w:val="none" w:sz="0" w:space="0" w:color="auto"/>
      </w:divBdr>
    </w:div>
    <w:div w:id="607588562">
      <w:bodyDiv w:val="1"/>
      <w:marLeft w:val="0"/>
      <w:marRight w:val="0"/>
      <w:marTop w:val="0"/>
      <w:marBottom w:val="0"/>
      <w:divBdr>
        <w:top w:val="none" w:sz="0" w:space="0" w:color="auto"/>
        <w:left w:val="none" w:sz="0" w:space="0" w:color="auto"/>
        <w:bottom w:val="none" w:sz="0" w:space="0" w:color="auto"/>
        <w:right w:val="none" w:sz="0" w:space="0" w:color="auto"/>
      </w:divBdr>
    </w:div>
    <w:div w:id="629481625">
      <w:bodyDiv w:val="1"/>
      <w:marLeft w:val="0"/>
      <w:marRight w:val="0"/>
      <w:marTop w:val="0"/>
      <w:marBottom w:val="0"/>
      <w:divBdr>
        <w:top w:val="none" w:sz="0" w:space="0" w:color="auto"/>
        <w:left w:val="none" w:sz="0" w:space="0" w:color="auto"/>
        <w:bottom w:val="none" w:sz="0" w:space="0" w:color="auto"/>
        <w:right w:val="none" w:sz="0" w:space="0" w:color="auto"/>
      </w:divBdr>
    </w:div>
    <w:div w:id="669408943">
      <w:bodyDiv w:val="1"/>
      <w:marLeft w:val="0"/>
      <w:marRight w:val="0"/>
      <w:marTop w:val="0"/>
      <w:marBottom w:val="0"/>
      <w:divBdr>
        <w:top w:val="none" w:sz="0" w:space="0" w:color="auto"/>
        <w:left w:val="none" w:sz="0" w:space="0" w:color="auto"/>
        <w:bottom w:val="none" w:sz="0" w:space="0" w:color="auto"/>
        <w:right w:val="none" w:sz="0" w:space="0" w:color="auto"/>
      </w:divBdr>
    </w:div>
    <w:div w:id="704138702">
      <w:bodyDiv w:val="1"/>
      <w:marLeft w:val="0"/>
      <w:marRight w:val="0"/>
      <w:marTop w:val="0"/>
      <w:marBottom w:val="0"/>
      <w:divBdr>
        <w:top w:val="none" w:sz="0" w:space="0" w:color="auto"/>
        <w:left w:val="none" w:sz="0" w:space="0" w:color="auto"/>
        <w:bottom w:val="none" w:sz="0" w:space="0" w:color="auto"/>
        <w:right w:val="none" w:sz="0" w:space="0" w:color="auto"/>
      </w:divBdr>
    </w:div>
    <w:div w:id="768040100">
      <w:bodyDiv w:val="1"/>
      <w:marLeft w:val="0"/>
      <w:marRight w:val="0"/>
      <w:marTop w:val="0"/>
      <w:marBottom w:val="0"/>
      <w:divBdr>
        <w:top w:val="none" w:sz="0" w:space="0" w:color="auto"/>
        <w:left w:val="none" w:sz="0" w:space="0" w:color="auto"/>
        <w:bottom w:val="none" w:sz="0" w:space="0" w:color="auto"/>
        <w:right w:val="none" w:sz="0" w:space="0" w:color="auto"/>
      </w:divBdr>
    </w:div>
    <w:div w:id="775442058">
      <w:bodyDiv w:val="1"/>
      <w:marLeft w:val="0"/>
      <w:marRight w:val="0"/>
      <w:marTop w:val="0"/>
      <w:marBottom w:val="0"/>
      <w:divBdr>
        <w:top w:val="none" w:sz="0" w:space="0" w:color="auto"/>
        <w:left w:val="none" w:sz="0" w:space="0" w:color="auto"/>
        <w:bottom w:val="none" w:sz="0" w:space="0" w:color="auto"/>
        <w:right w:val="none" w:sz="0" w:space="0" w:color="auto"/>
      </w:divBdr>
    </w:div>
    <w:div w:id="777138432">
      <w:bodyDiv w:val="1"/>
      <w:marLeft w:val="0"/>
      <w:marRight w:val="0"/>
      <w:marTop w:val="0"/>
      <w:marBottom w:val="0"/>
      <w:divBdr>
        <w:top w:val="none" w:sz="0" w:space="0" w:color="auto"/>
        <w:left w:val="none" w:sz="0" w:space="0" w:color="auto"/>
        <w:bottom w:val="none" w:sz="0" w:space="0" w:color="auto"/>
        <w:right w:val="none" w:sz="0" w:space="0" w:color="auto"/>
      </w:divBdr>
    </w:div>
    <w:div w:id="862284140">
      <w:bodyDiv w:val="1"/>
      <w:marLeft w:val="0"/>
      <w:marRight w:val="0"/>
      <w:marTop w:val="0"/>
      <w:marBottom w:val="0"/>
      <w:divBdr>
        <w:top w:val="none" w:sz="0" w:space="0" w:color="auto"/>
        <w:left w:val="none" w:sz="0" w:space="0" w:color="auto"/>
        <w:bottom w:val="none" w:sz="0" w:space="0" w:color="auto"/>
        <w:right w:val="none" w:sz="0" w:space="0" w:color="auto"/>
      </w:divBdr>
    </w:div>
    <w:div w:id="983849267">
      <w:bodyDiv w:val="1"/>
      <w:marLeft w:val="0"/>
      <w:marRight w:val="0"/>
      <w:marTop w:val="0"/>
      <w:marBottom w:val="0"/>
      <w:divBdr>
        <w:top w:val="none" w:sz="0" w:space="0" w:color="auto"/>
        <w:left w:val="none" w:sz="0" w:space="0" w:color="auto"/>
        <w:bottom w:val="none" w:sz="0" w:space="0" w:color="auto"/>
        <w:right w:val="none" w:sz="0" w:space="0" w:color="auto"/>
      </w:divBdr>
    </w:div>
    <w:div w:id="1038626153">
      <w:bodyDiv w:val="1"/>
      <w:marLeft w:val="0"/>
      <w:marRight w:val="0"/>
      <w:marTop w:val="0"/>
      <w:marBottom w:val="0"/>
      <w:divBdr>
        <w:top w:val="none" w:sz="0" w:space="0" w:color="auto"/>
        <w:left w:val="none" w:sz="0" w:space="0" w:color="auto"/>
        <w:bottom w:val="none" w:sz="0" w:space="0" w:color="auto"/>
        <w:right w:val="none" w:sz="0" w:space="0" w:color="auto"/>
      </w:divBdr>
    </w:div>
    <w:div w:id="1066299999">
      <w:bodyDiv w:val="1"/>
      <w:marLeft w:val="0"/>
      <w:marRight w:val="0"/>
      <w:marTop w:val="0"/>
      <w:marBottom w:val="0"/>
      <w:divBdr>
        <w:top w:val="none" w:sz="0" w:space="0" w:color="auto"/>
        <w:left w:val="none" w:sz="0" w:space="0" w:color="auto"/>
        <w:bottom w:val="none" w:sz="0" w:space="0" w:color="auto"/>
        <w:right w:val="none" w:sz="0" w:space="0" w:color="auto"/>
      </w:divBdr>
    </w:div>
    <w:div w:id="1182819663">
      <w:bodyDiv w:val="1"/>
      <w:marLeft w:val="0"/>
      <w:marRight w:val="0"/>
      <w:marTop w:val="0"/>
      <w:marBottom w:val="0"/>
      <w:divBdr>
        <w:top w:val="none" w:sz="0" w:space="0" w:color="auto"/>
        <w:left w:val="none" w:sz="0" w:space="0" w:color="auto"/>
        <w:bottom w:val="none" w:sz="0" w:space="0" w:color="auto"/>
        <w:right w:val="none" w:sz="0" w:space="0" w:color="auto"/>
      </w:divBdr>
    </w:div>
    <w:div w:id="1235169015">
      <w:bodyDiv w:val="1"/>
      <w:marLeft w:val="0"/>
      <w:marRight w:val="0"/>
      <w:marTop w:val="0"/>
      <w:marBottom w:val="0"/>
      <w:divBdr>
        <w:top w:val="none" w:sz="0" w:space="0" w:color="auto"/>
        <w:left w:val="none" w:sz="0" w:space="0" w:color="auto"/>
        <w:bottom w:val="none" w:sz="0" w:space="0" w:color="auto"/>
        <w:right w:val="none" w:sz="0" w:space="0" w:color="auto"/>
      </w:divBdr>
    </w:div>
    <w:div w:id="1257834356">
      <w:bodyDiv w:val="1"/>
      <w:marLeft w:val="0"/>
      <w:marRight w:val="0"/>
      <w:marTop w:val="0"/>
      <w:marBottom w:val="0"/>
      <w:divBdr>
        <w:top w:val="none" w:sz="0" w:space="0" w:color="auto"/>
        <w:left w:val="none" w:sz="0" w:space="0" w:color="auto"/>
        <w:bottom w:val="none" w:sz="0" w:space="0" w:color="auto"/>
        <w:right w:val="none" w:sz="0" w:space="0" w:color="auto"/>
      </w:divBdr>
    </w:div>
    <w:div w:id="1270893596">
      <w:bodyDiv w:val="1"/>
      <w:marLeft w:val="0"/>
      <w:marRight w:val="0"/>
      <w:marTop w:val="0"/>
      <w:marBottom w:val="0"/>
      <w:divBdr>
        <w:top w:val="none" w:sz="0" w:space="0" w:color="auto"/>
        <w:left w:val="none" w:sz="0" w:space="0" w:color="auto"/>
        <w:bottom w:val="none" w:sz="0" w:space="0" w:color="auto"/>
        <w:right w:val="none" w:sz="0" w:space="0" w:color="auto"/>
      </w:divBdr>
    </w:div>
    <w:div w:id="1278173437">
      <w:bodyDiv w:val="1"/>
      <w:marLeft w:val="0"/>
      <w:marRight w:val="0"/>
      <w:marTop w:val="0"/>
      <w:marBottom w:val="0"/>
      <w:divBdr>
        <w:top w:val="none" w:sz="0" w:space="0" w:color="auto"/>
        <w:left w:val="none" w:sz="0" w:space="0" w:color="auto"/>
        <w:bottom w:val="none" w:sz="0" w:space="0" w:color="auto"/>
        <w:right w:val="none" w:sz="0" w:space="0" w:color="auto"/>
      </w:divBdr>
    </w:div>
    <w:div w:id="1308589702">
      <w:bodyDiv w:val="1"/>
      <w:marLeft w:val="0"/>
      <w:marRight w:val="0"/>
      <w:marTop w:val="0"/>
      <w:marBottom w:val="0"/>
      <w:divBdr>
        <w:top w:val="none" w:sz="0" w:space="0" w:color="auto"/>
        <w:left w:val="none" w:sz="0" w:space="0" w:color="auto"/>
        <w:bottom w:val="none" w:sz="0" w:space="0" w:color="auto"/>
        <w:right w:val="none" w:sz="0" w:space="0" w:color="auto"/>
      </w:divBdr>
    </w:div>
    <w:div w:id="1309742552">
      <w:bodyDiv w:val="1"/>
      <w:marLeft w:val="0"/>
      <w:marRight w:val="0"/>
      <w:marTop w:val="0"/>
      <w:marBottom w:val="0"/>
      <w:divBdr>
        <w:top w:val="none" w:sz="0" w:space="0" w:color="auto"/>
        <w:left w:val="none" w:sz="0" w:space="0" w:color="auto"/>
        <w:bottom w:val="none" w:sz="0" w:space="0" w:color="auto"/>
        <w:right w:val="none" w:sz="0" w:space="0" w:color="auto"/>
      </w:divBdr>
    </w:div>
    <w:div w:id="1389038916">
      <w:bodyDiv w:val="1"/>
      <w:marLeft w:val="0"/>
      <w:marRight w:val="0"/>
      <w:marTop w:val="0"/>
      <w:marBottom w:val="0"/>
      <w:divBdr>
        <w:top w:val="none" w:sz="0" w:space="0" w:color="auto"/>
        <w:left w:val="none" w:sz="0" w:space="0" w:color="auto"/>
        <w:bottom w:val="none" w:sz="0" w:space="0" w:color="auto"/>
        <w:right w:val="none" w:sz="0" w:space="0" w:color="auto"/>
      </w:divBdr>
    </w:div>
    <w:div w:id="1397819232">
      <w:bodyDiv w:val="1"/>
      <w:marLeft w:val="0"/>
      <w:marRight w:val="0"/>
      <w:marTop w:val="0"/>
      <w:marBottom w:val="0"/>
      <w:divBdr>
        <w:top w:val="none" w:sz="0" w:space="0" w:color="auto"/>
        <w:left w:val="none" w:sz="0" w:space="0" w:color="auto"/>
        <w:bottom w:val="none" w:sz="0" w:space="0" w:color="auto"/>
        <w:right w:val="none" w:sz="0" w:space="0" w:color="auto"/>
      </w:divBdr>
    </w:div>
    <w:div w:id="1492142262">
      <w:bodyDiv w:val="1"/>
      <w:marLeft w:val="0"/>
      <w:marRight w:val="0"/>
      <w:marTop w:val="0"/>
      <w:marBottom w:val="0"/>
      <w:divBdr>
        <w:top w:val="none" w:sz="0" w:space="0" w:color="auto"/>
        <w:left w:val="none" w:sz="0" w:space="0" w:color="auto"/>
        <w:bottom w:val="none" w:sz="0" w:space="0" w:color="auto"/>
        <w:right w:val="none" w:sz="0" w:space="0" w:color="auto"/>
      </w:divBdr>
    </w:div>
    <w:div w:id="1493566799">
      <w:bodyDiv w:val="1"/>
      <w:marLeft w:val="0"/>
      <w:marRight w:val="0"/>
      <w:marTop w:val="0"/>
      <w:marBottom w:val="0"/>
      <w:divBdr>
        <w:top w:val="none" w:sz="0" w:space="0" w:color="auto"/>
        <w:left w:val="none" w:sz="0" w:space="0" w:color="auto"/>
        <w:bottom w:val="none" w:sz="0" w:space="0" w:color="auto"/>
        <w:right w:val="none" w:sz="0" w:space="0" w:color="auto"/>
      </w:divBdr>
    </w:div>
    <w:div w:id="1518080822">
      <w:bodyDiv w:val="1"/>
      <w:marLeft w:val="0"/>
      <w:marRight w:val="0"/>
      <w:marTop w:val="0"/>
      <w:marBottom w:val="0"/>
      <w:divBdr>
        <w:top w:val="none" w:sz="0" w:space="0" w:color="auto"/>
        <w:left w:val="none" w:sz="0" w:space="0" w:color="auto"/>
        <w:bottom w:val="none" w:sz="0" w:space="0" w:color="auto"/>
        <w:right w:val="none" w:sz="0" w:space="0" w:color="auto"/>
      </w:divBdr>
    </w:div>
    <w:div w:id="1571190447">
      <w:bodyDiv w:val="1"/>
      <w:marLeft w:val="0"/>
      <w:marRight w:val="0"/>
      <w:marTop w:val="0"/>
      <w:marBottom w:val="0"/>
      <w:divBdr>
        <w:top w:val="none" w:sz="0" w:space="0" w:color="auto"/>
        <w:left w:val="none" w:sz="0" w:space="0" w:color="auto"/>
        <w:bottom w:val="none" w:sz="0" w:space="0" w:color="auto"/>
        <w:right w:val="none" w:sz="0" w:space="0" w:color="auto"/>
      </w:divBdr>
    </w:div>
    <w:div w:id="1713766870">
      <w:bodyDiv w:val="1"/>
      <w:marLeft w:val="0"/>
      <w:marRight w:val="0"/>
      <w:marTop w:val="0"/>
      <w:marBottom w:val="0"/>
      <w:divBdr>
        <w:top w:val="none" w:sz="0" w:space="0" w:color="auto"/>
        <w:left w:val="none" w:sz="0" w:space="0" w:color="auto"/>
        <w:bottom w:val="none" w:sz="0" w:space="0" w:color="auto"/>
        <w:right w:val="none" w:sz="0" w:space="0" w:color="auto"/>
      </w:divBdr>
    </w:div>
    <w:div w:id="1721980313">
      <w:bodyDiv w:val="1"/>
      <w:marLeft w:val="0"/>
      <w:marRight w:val="0"/>
      <w:marTop w:val="0"/>
      <w:marBottom w:val="0"/>
      <w:divBdr>
        <w:top w:val="none" w:sz="0" w:space="0" w:color="auto"/>
        <w:left w:val="none" w:sz="0" w:space="0" w:color="auto"/>
        <w:bottom w:val="none" w:sz="0" w:space="0" w:color="auto"/>
        <w:right w:val="none" w:sz="0" w:space="0" w:color="auto"/>
      </w:divBdr>
    </w:div>
    <w:div w:id="1831797827">
      <w:bodyDiv w:val="1"/>
      <w:marLeft w:val="0"/>
      <w:marRight w:val="0"/>
      <w:marTop w:val="0"/>
      <w:marBottom w:val="0"/>
      <w:divBdr>
        <w:top w:val="none" w:sz="0" w:space="0" w:color="auto"/>
        <w:left w:val="none" w:sz="0" w:space="0" w:color="auto"/>
        <w:bottom w:val="none" w:sz="0" w:space="0" w:color="auto"/>
        <w:right w:val="none" w:sz="0" w:space="0" w:color="auto"/>
      </w:divBdr>
    </w:div>
    <w:div w:id="1836652819">
      <w:bodyDiv w:val="1"/>
      <w:marLeft w:val="0"/>
      <w:marRight w:val="0"/>
      <w:marTop w:val="0"/>
      <w:marBottom w:val="0"/>
      <w:divBdr>
        <w:top w:val="none" w:sz="0" w:space="0" w:color="auto"/>
        <w:left w:val="none" w:sz="0" w:space="0" w:color="auto"/>
        <w:bottom w:val="none" w:sz="0" w:space="0" w:color="auto"/>
        <w:right w:val="none" w:sz="0" w:space="0" w:color="auto"/>
      </w:divBdr>
    </w:div>
    <w:div w:id="1858495790">
      <w:bodyDiv w:val="1"/>
      <w:marLeft w:val="0"/>
      <w:marRight w:val="0"/>
      <w:marTop w:val="0"/>
      <w:marBottom w:val="0"/>
      <w:divBdr>
        <w:top w:val="none" w:sz="0" w:space="0" w:color="auto"/>
        <w:left w:val="none" w:sz="0" w:space="0" w:color="auto"/>
        <w:bottom w:val="none" w:sz="0" w:space="0" w:color="auto"/>
        <w:right w:val="none" w:sz="0" w:space="0" w:color="auto"/>
      </w:divBdr>
    </w:div>
    <w:div w:id="1878347481">
      <w:bodyDiv w:val="1"/>
      <w:marLeft w:val="0"/>
      <w:marRight w:val="0"/>
      <w:marTop w:val="0"/>
      <w:marBottom w:val="0"/>
      <w:divBdr>
        <w:top w:val="none" w:sz="0" w:space="0" w:color="auto"/>
        <w:left w:val="none" w:sz="0" w:space="0" w:color="auto"/>
        <w:bottom w:val="none" w:sz="0" w:space="0" w:color="auto"/>
        <w:right w:val="none" w:sz="0" w:space="0" w:color="auto"/>
      </w:divBdr>
    </w:div>
    <w:div w:id="1896239910">
      <w:bodyDiv w:val="1"/>
      <w:marLeft w:val="0"/>
      <w:marRight w:val="0"/>
      <w:marTop w:val="0"/>
      <w:marBottom w:val="0"/>
      <w:divBdr>
        <w:top w:val="none" w:sz="0" w:space="0" w:color="auto"/>
        <w:left w:val="none" w:sz="0" w:space="0" w:color="auto"/>
        <w:bottom w:val="none" w:sz="0" w:space="0" w:color="auto"/>
        <w:right w:val="none" w:sz="0" w:space="0" w:color="auto"/>
      </w:divBdr>
    </w:div>
    <w:div w:id="1919316726">
      <w:bodyDiv w:val="1"/>
      <w:marLeft w:val="0"/>
      <w:marRight w:val="0"/>
      <w:marTop w:val="0"/>
      <w:marBottom w:val="0"/>
      <w:divBdr>
        <w:top w:val="none" w:sz="0" w:space="0" w:color="auto"/>
        <w:left w:val="none" w:sz="0" w:space="0" w:color="auto"/>
        <w:bottom w:val="none" w:sz="0" w:space="0" w:color="auto"/>
        <w:right w:val="none" w:sz="0" w:space="0" w:color="auto"/>
      </w:divBdr>
    </w:div>
    <w:div w:id="2001814362">
      <w:bodyDiv w:val="1"/>
      <w:marLeft w:val="0"/>
      <w:marRight w:val="0"/>
      <w:marTop w:val="0"/>
      <w:marBottom w:val="0"/>
      <w:divBdr>
        <w:top w:val="none" w:sz="0" w:space="0" w:color="auto"/>
        <w:left w:val="none" w:sz="0" w:space="0" w:color="auto"/>
        <w:bottom w:val="none" w:sz="0" w:space="0" w:color="auto"/>
        <w:right w:val="none" w:sz="0" w:space="0" w:color="auto"/>
      </w:divBdr>
    </w:div>
    <w:div w:id="2021657412">
      <w:bodyDiv w:val="1"/>
      <w:marLeft w:val="0"/>
      <w:marRight w:val="0"/>
      <w:marTop w:val="0"/>
      <w:marBottom w:val="0"/>
      <w:divBdr>
        <w:top w:val="none" w:sz="0" w:space="0" w:color="auto"/>
        <w:left w:val="none" w:sz="0" w:space="0" w:color="auto"/>
        <w:bottom w:val="none" w:sz="0" w:space="0" w:color="auto"/>
        <w:right w:val="none" w:sz="0" w:space="0" w:color="auto"/>
      </w:divBdr>
    </w:div>
    <w:div w:id="2081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group.at"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pa-group.at/publikationen/arbeitskostenstudie-2024/" TargetMode="External"/><Relationship Id="rId4" Type="http://schemas.openxmlformats.org/officeDocument/2006/relationships/settings" Target="settings.xml"/><Relationship Id="rId9" Type="http://schemas.openxmlformats.org/officeDocument/2006/relationships/hyperlink" Target="http://www.tp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PA V2">
  <a:themeElements>
    <a:clrScheme name="TPA Farben neu">
      <a:dk1>
        <a:srgbClr val="000000"/>
      </a:dk1>
      <a:lt1>
        <a:srgbClr val="FFFFFF"/>
      </a:lt1>
      <a:dk2>
        <a:srgbClr val="545346"/>
      </a:dk2>
      <a:lt2>
        <a:srgbClr val="005233"/>
      </a:lt2>
      <a:accent1>
        <a:srgbClr val="5A6E89"/>
      </a:accent1>
      <a:accent2>
        <a:srgbClr val="7FBDA8"/>
      </a:accent2>
      <a:accent3>
        <a:srgbClr val="ECCC7D"/>
      </a:accent3>
      <a:accent4>
        <a:srgbClr val="73699D"/>
      </a:accent4>
      <a:accent5>
        <a:srgbClr val="AB6388"/>
      </a:accent5>
      <a:accent6>
        <a:srgbClr val="578896"/>
      </a:accent6>
      <a:hlink>
        <a:srgbClr val="000000"/>
      </a:hlink>
      <a:folHlink>
        <a:srgbClr val="5858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2"/>
          </a:solidFill>
        </a:ln>
      </a:spPr>
      <a:bodyPr lIns="108000" rIns="108000" rtlCol="0" anchor="ctr"/>
      <a:lstStyle>
        <a:defPPr algn="ctr">
          <a:defRPr sz="14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bwMode="auto">
        <a:ln w="12700">
          <a:solidFill>
            <a:schemeClr val="accent1"/>
          </a:solidFill>
          <a:headEnd/>
          <a:tailEnd/>
        </a:ln>
      </a:spPr>
      <a:bodyPr/>
      <a:lstStyle/>
      <a:style>
        <a:lnRef idx="1">
          <a:schemeClr val="dk1"/>
        </a:lnRef>
        <a:fillRef idx="0">
          <a:schemeClr val="dk1"/>
        </a:fillRef>
        <a:effectRef idx="0">
          <a:schemeClr val="dk1"/>
        </a:effectRef>
        <a:fontRef idx="minor">
          <a:schemeClr val="tx1"/>
        </a:fontRef>
      </a:style>
    </a:lnDef>
    <a:txDef>
      <a:spPr>
        <a:noFill/>
      </a:spPr>
      <a:bodyPr wrap="none" lIns="0" tIns="0" rIns="0" bIns="0" rtlCol="0">
        <a:spAutoFit/>
      </a:bodyPr>
      <a:lstStyle>
        <a:defPPr marL="160338" indent="-160338">
          <a:spcBef>
            <a:spcPts val="300"/>
          </a:spcBef>
          <a:buClr>
            <a:schemeClr val="bg2"/>
          </a:buClr>
          <a:buSzPct val="120000"/>
          <a:buFont typeface="Wingdings" panose="05000000000000000000" pitchFamily="2" charset="2"/>
          <a:buChar char="§"/>
          <a:defRPr sz="1400" dirty="0" err="1">
            <a:solidFill>
              <a:srgbClr val="58585A"/>
            </a:solidFill>
          </a:defRPr>
        </a:defPPr>
      </a:lstStyle>
    </a:txDef>
  </a:objectDefaults>
  <a:extraClrSchemeLst/>
  <a:extLst>
    <a:ext uri="{05A4C25C-085E-4340-85A3-A5531E510DB2}">
      <thm15:themeFamily xmlns:thm15="http://schemas.microsoft.com/office/thememl/2012/main" name="TPA V2" id="{354F955F-2AD4-429D-8227-F11D5C5B5146}" vid="{85741FCB-72F9-4435-9E67-E0BC06E86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814144A1F44A94EB27F9E375D49D3D2" ma:contentTypeVersion="15" ma:contentTypeDescription="Ein neues Dokument erstellen." ma:contentTypeScope="" ma:versionID="ea663baf8f469f5acaa81c3ab93d1cc4">
  <xsd:schema xmlns:xsd="http://www.w3.org/2001/XMLSchema" xmlns:xs="http://www.w3.org/2001/XMLSchema" xmlns:p="http://schemas.microsoft.com/office/2006/metadata/properties" xmlns:ns2="a724fae3-8a10-4229-8213-ff5595fbdaf7" xmlns:ns3="37f711ad-18cd-4c11-8ccf-1354b8138a30" targetNamespace="http://schemas.microsoft.com/office/2006/metadata/properties" ma:root="true" ma:fieldsID="2824b1a95096c88295d76f7a1262628c" ns2:_="" ns3:_="">
    <xsd:import namespace="a724fae3-8a10-4229-8213-ff5595fbdaf7"/>
    <xsd:import namespace="37f711ad-18cd-4c11-8ccf-1354b8138a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4fae3-8a10-4229-8213-ff5595fb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a748373-6533-44dd-916b-65a087fe9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711ad-18cd-4c11-8ccf-1354b8138a3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8816634-125d-4e7b-8c26-1c90a2853e89}" ma:internalName="TaxCatchAll" ma:showField="CatchAllData" ma:web="37f711ad-18cd-4c11-8ccf-1354b8138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f711ad-18cd-4c11-8ccf-1354b8138a30" xsi:nil="true"/>
    <lcf76f155ced4ddcb4097134ff3c332f xmlns="a724fae3-8a10-4229-8213-ff5595fbda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086575-43E8-4AAE-A1AA-E2E88609CCF0}">
  <ds:schemaRefs>
    <ds:schemaRef ds:uri="http://schemas.openxmlformats.org/officeDocument/2006/bibliography"/>
  </ds:schemaRefs>
</ds:datastoreItem>
</file>

<file path=customXml/itemProps2.xml><?xml version="1.0" encoding="utf-8"?>
<ds:datastoreItem xmlns:ds="http://schemas.openxmlformats.org/officeDocument/2006/customXml" ds:itemID="{81F09378-53BD-4B35-89B0-6BD151A140F4}"/>
</file>

<file path=customXml/itemProps3.xml><?xml version="1.0" encoding="utf-8"?>
<ds:datastoreItem xmlns:ds="http://schemas.openxmlformats.org/officeDocument/2006/customXml" ds:itemID="{971752C2-CB6B-47E8-BE61-02339DF3C1A2}"/>
</file>

<file path=customXml/itemProps4.xml><?xml version="1.0" encoding="utf-8"?>
<ds:datastoreItem xmlns:ds="http://schemas.openxmlformats.org/officeDocument/2006/customXml" ds:itemID="{57715F3B-0E5D-4FFA-A07C-972F8207FD1F}"/>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TPA</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Regelsberger Judith</dc:creator>
  <cp:keywords/>
  <dc:description/>
  <cp:lastModifiedBy>Regelsberger Judith</cp:lastModifiedBy>
  <cp:revision>2</cp:revision>
  <cp:lastPrinted>2024-05-08T13:16:00Z</cp:lastPrinted>
  <dcterms:created xsi:type="dcterms:W3CDTF">2024-05-08T12:33:00Z</dcterms:created>
  <dcterms:modified xsi:type="dcterms:W3CDTF">2024-05-08T13:36:00Z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0x0101004814144A1F44A94EB27F9E375D49D3D2</vt:lpwstr>
  </property>
</Properties>
</file>